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1605" w:rsidRPr="00B8514C" w:rsidRDefault="00DC1605" w:rsidP="00D64043">
      <w:pPr>
        <w:pStyle w:val="absatzschattenbericht"/>
        <w:rPr>
          <w:lang w:val="en-GB"/>
        </w:rPr>
      </w:pPr>
    </w:p>
    <w:p w:rsidR="00DC1605" w:rsidRPr="00B8514C" w:rsidRDefault="00DC1605" w:rsidP="00D64043">
      <w:pPr>
        <w:pStyle w:val="absatzschattenbericht"/>
        <w:rPr>
          <w:lang w:val="en-GB"/>
        </w:rPr>
      </w:pPr>
    </w:p>
    <w:p w:rsidR="00715692" w:rsidRPr="00B8514C" w:rsidRDefault="00715692" w:rsidP="00D64043">
      <w:pPr>
        <w:pStyle w:val="absatzschattenbericht"/>
        <w:rPr>
          <w:sz w:val="22"/>
          <w:szCs w:val="22"/>
          <w:lang w:val="en-GB"/>
        </w:rPr>
      </w:pPr>
    </w:p>
    <w:p w:rsidR="00715692" w:rsidRPr="00B8514C" w:rsidRDefault="00715692" w:rsidP="00D64043">
      <w:pPr>
        <w:pStyle w:val="absatzschattenbericht"/>
        <w:rPr>
          <w:sz w:val="22"/>
          <w:szCs w:val="22"/>
          <w:lang w:val="en-GB"/>
        </w:rPr>
      </w:pPr>
    </w:p>
    <w:p w:rsidR="009B6D95" w:rsidRDefault="009B6D95" w:rsidP="00D64043">
      <w:pPr>
        <w:pStyle w:val="Title1"/>
        <w:jc w:val="center"/>
        <w:rPr>
          <w:spacing w:val="11"/>
          <w:kern w:val="32"/>
          <w:sz w:val="32"/>
          <w:szCs w:val="32"/>
          <w:lang w:val="en-GB"/>
        </w:rPr>
      </w:pPr>
      <w:r w:rsidRPr="009B6D95">
        <w:rPr>
          <w:spacing w:val="11"/>
          <w:kern w:val="32"/>
          <w:sz w:val="32"/>
          <w:szCs w:val="32"/>
          <w:lang w:val="en-GB"/>
        </w:rPr>
        <w:t>Input for HC report pursuant to</w:t>
      </w:r>
    </w:p>
    <w:p w:rsidR="009B6D95" w:rsidRDefault="009B6D95" w:rsidP="009B6D95">
      <w:pPr>
        <w:pStyle w:val="Title1"/>
        <w:jc w:val="center"/>
        <w:rPr>
          <w:spacing w:val="11"/>
          <w:kern w:val="32"/>
          <w:sz w:val="32"/>
          <w:szCs w:val="32"/>
          <w:lang w:val="en-GB"/>
        </w:rPr>
      </w:pPr>
      <w:r w:rsidRPr="009B6D95">
        <w:rPr>
          <w:spacing w:val="11"/>
          <w:kern w:val="32"/>
          <w:sz w:val="32"/>
          <w:szCs w:val="32"/>
          <w:lang w:val="en-GB"/>
        </w:rPr>
        <w:t>Human Rights Council resolution 55/14</w:t>
      </w:r>
    </w:p>
    <w:p w:rsidR="004A7A8C" w:rsidRPr="00B8514C" w:rsidRDefault="004A7A8C" w:rsidP="00D64043">
      <w:pPr>
        <w:pStyle w:val="Title1"/>
        <w:jc w:val="center"/>
        <w:rPr>
          <w:spacing w:val="11"/>
          <w:kern w:val="32"/>
          <w:sz w:val="32"/>
          <w:szCs w:val="32"/>
          <w:lang w:val="en-GB"/>
        </w:rPr>
      </w:pPr>
      <w:r w:rsidRPr="00B8514C">
        <w:rPr>
          <w:spacing w:val="11"/>
          <w:kern w:val="32"/>
          <w:sz w:val="32"/>
          <w:szCs w:val="32"/>
          <w:lang w:val="en-GB"/>
        </w:rPr>
        <w:t>by StopIGM.org</w:t>
      </w:r>
    </w:p>
    <w:p w:rsidR="00FB1FE4" w:rsidRPr="00B8514C" w:rsidRDefault="00FB1FE4" w:rsidP="00D64043">
      <w:pPr>
        <w:pStyle w:val="AbsatzSchattenbericht0"/>
        <w:rPr>
          <w:sz w:val="22"/>
          <w:szCs w:val="22"/>
          <w:lang w:val="en-GB"/>
        </w:rPr>
      </w:pPr>
    </w:p>
    <w:p w:rsidR="000C0B7D" w:rsidRPr="00B8514C" w:rsidRDefault="000C0B7D" w:rsidP="00D64043">
      <w:pPr>
        <w:pStyle w:val="AbsatzSchattenbericht0"/>
        <w:rPr>
          <w:sz w:val="22"/>
          <w:szCs w:val="22"/>
          <w:lang w:val="en-GB"/>
        </w:rPr>
      </w:pPr>
    </w:p>
    <w:p w:rsidR="00715692" w:rsidRPr="00B8514C" w:rsidRDefault="0058006E" w:rsidP="00D64043">
      <w:pPr>
        <w:pStyle w:val="AbsatzSchattenbericht0"/>
        <w:jc w:val="center"/>
        <w:rPr>
          <w:rFonts w:ascii="Arial" w:hAnsi="Arial" w:cs="Arial"/>
          <w:lang w:val="en-GB"/>
        </w:rPr>
      </w:pPr>
      <w:r w:rsidRPr="00075AAE">
        <w:rPr>
          <w:rFonts w:ascii="Arial" w:hAnsi="Arial" w:cs="Arial"/>
          <w:lang w:val="en-GB"/>
        </w:rPr>
        <w:t xml:space="preserve">20 </w:t>
      </w:r>
      <w:r w:rsidR="00F73CF9">
        <w:rPr>
          <w:rFonts w:ascii="Arial" w:hAnsi="Arial" w:cs="Arial"/>
          <w:lang w:val="en-GB"/>
        </w:rPr>
        <w:t>December</w:t>
      </w:r>
      <w:bookmarkStart w:id="0" w:name="_GoBack"/>
      <w:bookmarkEnd w:id="0"/>
      <w:r w:rsidRPr="00075AAE">
        <w:rPr>
          <w:rFonts w:ascii="Arial" w:hAnsi="Arial" w:cs="Arial"/>
          <w:lang w:val="en-GB"/>
        </w:rPr>
        <w:t xml:space="preserve"> 2024</w:t>
      </w:r>
    </w:p>
    <w:p w:rsidR="000C0B7D" w:rsidRPr="00B8514C" w:rsidRDefault="000C0B7D" w:rsidP="00D64043">
      <w:pPr>
        <w:pStyle w:val="AbsatzSchattenbericht0"/>
        <w:rPr>
          <w:sz w:val="22"/>
          <w:szCs w:val="22"/>
          <w:lang w:val="en-GB"/>
        </w:rPr>
      </w:pPr>
    </w:p>
    <w:p w:rsidR="000C0B7D" w:rsidRPr="00B8514C" w:rsidRDefault="000C0B7D" w:rsidP="00D64043">
      <w:pPr>
        <w:pStyle w:val="AbsatzSchattenbericht0"/>
        <w:rPr>
          <w:sz w:val="22"/>
          <w:szCs w:val="22"/>
          <w:lang w:val="en-GB"/>
        </w:rPr>
      </w:pPr>
    </w:p>
    <w:p w:rsidR="00C81701" w:rsidRPr="00B8514C" w:rsidRDefault="00C81701" w:rsidP="00D64043">
      <w:pPr>
        <w:pStyle w:val="EinfacherAbsatz"/>
        <w:jc w:val="center"/>
        <w:rPr>
          <w:rFonts w:ascii="Arial" w:eastAsia="ColossalisBold" w:hAnsi="Arial" w:cs="Arial"/>
          <w:b/>
          <w:bCs/>
          <w:color w:val="5E175E"/>
          <w:spacing w:val="11"/>
          <w:w w:val="95"/>
          <w:sz w:val="28"/>
          <w:szCs w:val="28"/>
          <w:lang w:val="en-GB"/>
        </w:rPr>
      </w:pPr>
      <w:r w:rsidRPr="00B8514C">
        <w:rPr>
          <w:rFonts w:ascii="Arial" w:eastAsia="ColossalisBold" w:hAnsi="Arial" w:cs="Arial"/>
          <w:b/>
          <w:bCs/>
          <w:color w:val="5E175E"/>
          <w:spacing w:val="11"/>
          <w:w w:val="95"/>
          <w:sz w:val="28"/>
          <w:szCs w:val="28"/>
          <w:lang w:val="en-GB"/>
        </w:rPr>
        <w:t>Table of Contents</w:t>
      </w:r>
    </w:p>
    <w:p w:rsidR="00C81701" w:rsidRPr="00B8514C" w:rsidRDefault="00C81701" w:rsidP="00D64043">
      <w:pPr>
        <w:pStyle w:val="EinfacherAbsatz"/>
        <w:jc w:val="center"/>
        <w:rPr>
          <w:rFonts w:ascii="Arial" w:eastAsia="ColossalisBold" w:hAnsi="Arial" w:cs="Arial"/>
          <w:b/>
          <w:bCs/>
          <w:color w:val="5E175E"/>
          <w:spacing w:val="11"/>
          <w:w w:val="95"/>
          <w:sz w:val="26"/>
          <w:szCs w:val="26"/>
          <w:lang w:val="en-GB"/>
        </w:rPr>
      </w:pPr>
    </w:p>
    <w:p w:rsidR="005D4C9E" w:rsidRPr="005D4C9E" w:rsidRDefault="00715692" w:rsidP="005D4C9E">
      <w:pPr>
        <w:pStyle w:val="Verzeichnis1"/>
        <w:rPr>
          <w:rFonts w:ascii="Arial" w:eastAsiaTheme="minorEastAsia" w:hAnsi="Arial" w:cs="Arial"/>
          <w:noProof/>
          <w:sz w:val="22"/>
          <w:szCs w:val="22"/>
        </w:rPr>
      </w:pPr>
      <w:r w:rsidRPr="005D4C9E">
        <w:rPr>
          <w:rFonts w:ascii="Arial" w:eastAsia="ColossalisBold" w:hAnsi="Arial" w:cs="Arial"/>
          <w:b/>
          <w:bCs/>
          <w:color w:val="5E175E"/>
          <w:spacing w:val="11"/>
          <w:w w:val="95"/>
          <w:sz w:val="22"/>
          <w:szCs w:val="22"/>
          <w:lang w:val="en-GB"/>
        </w:rPr>
        <w:fldChar w:fldCharType="begin"/>
      </w:r>
      <w:r w:rsidRPr="005D4C9E">
        <w:rPr>
          <w:rFonts w:ascii="Arial" w:eastAsia="ColossalisBold" w:hAnsi="Arial" w:cs="Arial"/>
          <w:b/>
          <w:bCs/>
          <w:color w:val="5E175E"/>
          <w:spacing w:val="11"/>
          <w:w w:val="95"/>
          <w:sz w:val="22"/>
          <w:szCs w:val="22"/>
          <w:lang w:val="en-GB"/>
        </w:rPr>
        <w:instrText xml:space="preserve"> TOC \h \z \t "Title 2;1;Untertitel;2;Titel 3 ECHR;2" </w:instrText>
      </w:r>
      <w:r w:rsidRPr="005D4C9E">
        <w:rPr>
          <w:rFonts w:ascii="Arial" w:eastAsia="ColossalisBold" w:hAnsi="Arial" w:cs="Arial"/>
          <w:b/>
          <w:bCs/>
          <w:color w:val="5E175E"/>
          <w:spacing w:val="11"/>
          <w:w w:val="95"/>
          <w:sz w:val="22"/>
          <w:szCs w:val="22"/>
          <w:lang w:val="en-GB"/>
        </w:rPr>
        <w:fldChar w:fldCharType="separate"/>
      </w:r>
      <w:hyperlink w:anchor="_Toc185616870" w:history="1">
        <w:r w:rsidR="005D4C9E" w:rsidRPr="005D4C9E">
          <w:rPr>
            <w:rStyle w:val="Hyperlink"/>
            <w:rFonts w:ascii="Arial" w:hAnsi="Arial" w:cs="Arial"/>
            <w:noProof/>
            <w:sz w:val="22"/>
            <w:szCs w:val="22"/>
            <w:lang w:bidi="hi-IN"/>
          </w:rPr>
          <w:t>1.  Introduction</w:t>
        </w:r>
        <w:r w:rsidR="005D4C9E" w:rsidRPr="005D4C9E">
          <w:rPr>
            <w:rFonts w:ascii="Arial" w:hAnsi="Arial" w:cs="Arial"/>
            <w:noProof/>
            <w:webHidden/>
            <w:sz w:val="22"/>
            <w:szCs w:val="22"/>
          </w:rPr>
          <w:tab/>
        </w:r>
        <w:r w:rsidR="005D4C9E" w:rsidRPr="005D4C9E">
          <w:rPr>
            <w:rFonts w:ascii="Arial" w:hAnsi="Arial" w:cs="Arial"/>
            <w:noProof/>
            <w:webHidden/>
            <w:sz w:val="22"/>
            <w:szCs w:val="22"/>
          </w:rPr>
          <w:fldChar w:fldCharType="begin"/>
        </w:r>
        <w:r w:rsidR="005D4C9E" w:rsidRPr="005D4C9E">
          <w:rPr>
            <w:rFonts w:ascii="Arial" w:hAnsi="Arial" w:cs="Arial"/>
            <w:noProof/>
            <w:webHidden/>
            <w:sz w:val="22"/>
            <w:szCs w:val="22"/>
          </w:rPr>
          <w:instrText xml:space="preserve"> PAGEREF _Toc185616870 \h </w:instrText>
        </w:r>
        <w:r w:rsidR="005D4C9E" w:rsidRPr="005D4C9E">
          <w:rPr>
            <w:rFonts w:ascii="Arial" w:hAnsi="Arial" w:cs="Arial"/>
            <w:noProof/>
            <w:webHidden/>
            <w:sz w:val="22"/>
            <w:szCs w:val="22"/>
          </w:rPr>
        </w:r>
        <w:r w:rsidR="005D4C9E" w:rsidRPr="005D4C9E">
          <w:rPr>
            <w:rFonts w:ascii="Arial" w:hAnsi="Arial" w:cs="Arial"/>
            <w:noProof/>
            <w:webHidden/>
            <w:sz w:val="22"/>
            <w:szCs w:val="22"/>
          </w:rPr>
          <w:fldChar w:fldCharType="separate"/>
        </w:r>
        <w:r w:rsidR="002D05ED">
          <w:rPr>
            <w:rFonts w:ascii="Arial" w:hAnsi="Arial" w:cs="Arial"/>
            <w:noProof/>
            <w:webHidden/>
            <w:sz w:val="22"/>
            <w:szCs w:val="22"/>
          </w:rPr>
          <w:t>1</w:t>
        </w:r>
        <w:r w:rsidR="005D4C9E" w:rsidRPr="005D4C9E">
          <w:rPr>
            <w:rFonts w:ascii="Arial" w:hAnsi="Arial" w:cs="Arial"/>
            <w:noProof/>
            <w:webHidden/>
            <w:sz w:val="22"/>
            <w:szCs w:val="22"/>
          </w:rPr>
          <w:fldChar w:fldCharType="end"/>
        </w:r>
      </w:hyperlink>
    </w:p>
    <w:p w:rsidR="005D4C9E" w:rsidRPr="005D4C9E" w:rsidRDefault="005D4C9E" w:rsidP="005D4C9E">
      <w:pPr>
        <w:pStyle w:val="Verzeichnis1"/>
        <w:rPr>
          <w:rFonts w:ascii="Arial" w:eastAsiaTheme="minorEastAsia" w:hAnsi="Arial" w:cs="Arial"/>
          <w:noProof/>
          <w:sz w:val="22"/>
          <w:szCs w:val="22"/>
        </w:rPr>
      </w:pPr>
      <w:hyperlink w:anchor="_Toc185616871" w:history="1">
        <w:r w:rsidRPr="005D4C9E">
          <w:rPr>
            <w:rStyle w:val="Hyperlink"/>
            <w:rFonts w:ascii="Arial" w:hAnsi="Arial" w:cs="Arial"/>
            <w:noProof/>
            <w:sz w:val="22"/>
            <w:szCs w:val="22"/>
            <w:lang w:bidi="hi-IN"/>
          </w:rPr>
          <w:t>2.  Intersex and intersex genital mutilation (IGM): Frame of reference</w:t>
        </w:r>
        <w:r w:rsidRPr="005D4C9E">
          <w:rPr>
            <w:rFonts w:ascii="Arial" w:hAnsi="Arial" w:cs="Arial"/>
            <w:noProof/>
            <w:webHidden/>
            <w:sz w:val="22"/>
            <w:szCs w:val="22"/>
          </w:rPr>
          <w:tab/>
        </w:r>
        <w:r w:rsidRPr="005D4C9E">
          <w:rPr>
            <w:rFonts w:ascii="Arial" w:hAnsi="Arial" w:cs="Arial"/>
            <w:noProof/>
            <w:webHidden/>
            <w:sz w:val="22"/>
            <w:szCs w:val="22"/>
          </w:rPr>
          <w:fldChar w:fldCharType="begin"/>
        </w:r>
        <w:r w:rsidRPr="005D4C9E">
          <w:rPr>
            <w:rFonts w:ascii="Arial" w:hAnsi="Arial" w:cs="Arial"/>
            <w:noProof/>
            <w:webHidden/>
            <w:sz w:val="22"/>
            <w:szCs w:val="22"/>
          </w:rPr>
          <w:instrText xml:space="preserve"> PAGEREF _Toc185616871 \h </w:instrText>
        </w:r>
        <w:r w:rsidRPr="005D4C9E">
          <w:rPr>
            <w:rFonts w:ascii="Arial" w:hAnsi="Arial" w:cs="Arial"/>
            <w:noProof/>
            <w:webHidden/>
            <w:sz w:val="22"/>
            <w:szCs w:val="22"/>
          </w:rPr>
        </w:r>
        <w:r w:rsidRPr="005D4C9E">
          <w:rPr>
            <w:rFonts w:ascii="Arial" w:hAnsi="Arial" w:cs="Arial"/>
            <w:noProof/>
            <w:webHidden/>
            <w:sz w:val="22"/>
            <w:szCs w:val="22"/>
          </w:rPr>
          <w:fldChar w:fldCharType="separate"/>
        </w:r>
        <w:r w:rsidR="002D05ED">
          <w:rPr>
            <w:rFonts w:ascii="Arial" w:hAnsi="Arial" w:cs="Arial"/>
            <w:noProof/>
            <w:webHidden/>
            <w:sz w:val="22"/>
            <w:szCs w:val="22"/>
          </w:rPr>
          <w:t>1</w:t>
        </w:r>
        <w:r w:rsidRPr="005D4C9E">
          <w:rPr>
            <w:rFonts w:ascii="Arial" w:hAnsi="Arial" w:cs="Arial"/>
            <w:noProof/>
            <w:webHidden/>
            <w:sz w:val="22"/>
            <w:szCs w:val="22"/>
          </w:rPr>
          <w:fldChar w:fldCharType="end"/>
        </w:r>
      </w:hyperlink>
    </w:p>
    <w:p w:rsidR="005D4C9E" w:rsidRPr="005D4C9E" w:rsidRDefault="005D4C9E" w:rsidP="005D4C9E">
      <w:pPr>
        <w:pStyle w:val="Verzeichnis1"/>
        <w:rPr>
          <w:rFonts w:ascii="Arial" w:eastAsiaTheme="minorEastAsia" w:hAnsi="Arial" w:cs="Arial"/>
          <w:noProof/>
          <w:sz w:val="22"/>
          <w:szCs w:val="22"/>
        </w:rPr>
      </w:pPr>
      <w:hyperlink w:anchor="_Toc185616872" w:history="1">
        <w:r w:rsidRPr="005D4C9E">
          <w:rPr>
            <w:rStyle w:val="Hyperlink"/>
            <w:rFonts w:ascii="Arial" w:hAnsi="Arial" w:cs="Arial"/>
            <w:noProof/>
            <w:sz w:val="22"/>
            <w:szCs w:val="22"/>
            <w:lang w:bidi="hi-IN"/>
          </w:rPr>
          <w:t>3.  Root causes: Stigma, taboo and prejudice</w:t>
        </w:r>
        <w:r w:rsidRPr="005D4C9E">
          <w:rPr>
            <w:rFonts w:ascii="Arial" w:hAnsi="Arial" w:cs="Arial"/>
            <w:noProof/>
            <w:webHidden/>
            <w:sz w:val="22"/>
            <w:szCs w:val="22"/>
          </w:rPr>
          <w:tab/>
        </w:r>
        <w:r w:rsidRPr="005D4C9E">
          <w:rPr>
            <w:rFonts w:ascii="Arial" w:hAnsi="Arial" w:cs="Arial"/>
            <w:noProof/>
            <w:webHidden/>
            <w:sz w:val="22"/>
            <w:szCs w:val="22"/>
          </w:rPr>
          <w:fldChar w:fldCharType="begin"/>
        </w:r>
        <w:r w:rsidRPr="005D4C9E">
          <w:rPr>
            <w:rFonts w:ascii="Arial" w:hAnsi="Arial" w:cs="Arial"/>
            <w:noProof/>
            <w:webHidden/>
            <w:sz w:val="22"/>
            <w:szCs w:val="22"/>
          </w:rPr>
          <w:instrText xml:space="preserve"> PAGEREF _Toc185616872 \h </w:instrText>
        </w:r>
        <w:r w:rsidRPr="005D4C9E">
          <w:rPr>
            <w:rFonts w:ascii="Arial" w:hAnsi="Arial" w:cs="Arial"/>
            <w:noProof/>
            <w:webHidden/>
            <w:sz w:val="22"/>
            <w:szCs w:val="22"/>
          </w:rPr>
        </w:r>
        <w:r w:rsidRPr="005D4C9E">
          <w:rPr>
            <w:rFonts w:ascii="Arial" w:hAnsi="Arial" w:cs="Arial"/>
            <w:noProof/>
            <w:webHidden/>
            <w:sz w:val="22"/>
            <w:szCs w:val="22"/>
          </w:rPr>
          <w:fldChar w:fldCharType="separate"/>
        </w:r>
        <w:r w:rsidR="002D05ED">
          <w:rPr>
            <w:rFonts w:ascii="Arial" w:hAnsi="Arial" w:cs="Arial"/>
            <w:noProof/>
            <w:webHidden/>
            <w:sz w:val="22"/>
            <w:szCs w:val="22"/>
          </w:rPr>
          <w:t>3</w:t>
        </w:r>
        <w:r w:rsidRPr="005D4C9E">
          <w:rPr>
            <w:rFonts w:ascii="Arial" w:hAnsi="Arial" w:cs="Arial"/>
            <w:noProof/>
            <w:webHidden/>
            <w:sz w:val="22"/>
            <w:szCs w:val="22"/>
          </w:rPr>
          <w:fldChar w:fldCharType="end"/>
        </w:r>
      </w:hyperlink>
    </w:p>
    <w:p w:rsidR="005D4C9E" w:rsidRPr="005D4C9E" w:rsidRDefault="005D4C9E" w:rsidP="005D4C9E">
      <w:pPr>
        <w:pStyle w:val="Verzeichnis1"/>
        <w:rPr>
          <w:rFonts w:ascii="Arial" w:eastAsiaTheme="minorEastAsia" w:hAnsi="Arial" w:cs="Arial"/>
          <w:noProof/>
          <w:sz w:val="22"/>
          <w:szCs w:val="22"/>
        </w:rPr>
      </w:pPr>
      <w:hyperlink w:anchor="_Toc185616873" w:history="1">
        <w:r w:rsidRPr="005D4C9E">
          <w:rPr>
            <w:rStyle w:val="Hyperlink"/>
            <w:rFonts w:ascii="Arial" w:hAnsi="Arial" w:cs="Arial"/>
            <w:noProof/>
            <w:sz w:val="22"/>
            <w:szCs w:val="22"/>
            <w:lang w:bidi="hi-IN"/>
          </w:rPr>
          <w:t>4.  Relevant UN Convention articles according to Treaty bodies</w:t>
        </w:r>
        <w:r w:rsidRPr="005D4C9E">
          <w:rPr>
            <w:rFonts w:ascii="Arial" w:hAnsi="Arial" w:cs="Arial"/>
            <w:noProof/>
            <w:webHidden/>
            <w:sz w:val="22"/>
            <w:szCs w:val="22"/>
          </w:rPr>
          <w:tab/>
        </w:r>
        <w:r w:rsidRPr="005D4C9E">
          <w:rPr>
            <w:rFonts w:ascii="Arial" w:hAnsi="Arial" w:cs="Arial"/>
            <w:noProof/>
            <w:webHidden/>
            <w:sz w:val="22"/>
            <w:szCs w:val="22"/>
          </w:rPr>
          <w:fldChar w:fldCharType="begin"/>
        </w:r>
        <w:r w:rsidRPr="005D4C9E">
          <w:rPr>
            <w:rFonts w:ascii="Arial" w:hAnsi="Arial" w:cs="Arial"/>
            <w:noProof/>
            <w:webHidden/>
            <w:sz w:val="22"/>
            <w:szCs w:val="22"/>
          </w:rPr>
          <w:instrText xml:space="preserve"> PAGEREF _Toc185616873 \h </w:instrText>
        </w:r>
        <w:r w:rsidRPr="005D4C9E">
          <w:rPr>
            <w:rFonts w:ascii="Arial" w:hAnsi="Arial" w:cs="Arial"/>
            <w:noProof/>
            <w:webHidden/>
            <w:sz w:val="22"/>
            <w:szCs w:val="22"/>
          </w:rPr>
        </w:r>
        <w:r w:rsidRPr="005D4C9E">
          <w:rPr>
            <w:rFonts w:ascii="Arial" w:hAnsi="Arial" w:cs="Arial"/>
            <w:noProof/>
            <w:webHidden/>
            <w:sz w:val="22"/>
            <w:szCs w:val="22"/>
          </w:rPr>
          <w:fldChar w:fldCharType="separate"/>
        </w:r>
        <w:r w:rsidR="002D05ED">
          <w:rPr>
            <w:rFonts w:ascii="Arial" w:hAnsi="Arial" w:cs="Arial"/>
            <w:noProof/>
            <w:webHidden/>
            <w:sz w:val="22"/>
            <w:szCs w:val="22"/>
          </w:rPr>
          <w:t>5</w:t>
        </w:r>
        <w:r w:rsidRPr="005D4C9E">
          <w:rPr>
            <w:rFonts w:ascii="Arial" w:hAnsi="Arial" w:cs="Arial"/>
            <w:noProof/>
            <w:webHidden/>
            <w:sz w:val="22"/>
            <w:szCs w:val="22"/>
          </w:rPr>
          <w:fldChar w:fldCharType="end"/>
        </w:r>
      </w:hyperlink>
    </w:p>
    <w:p w:rsidR="005D4C9E" w:rsidRPr="005D4C9E" w:rsidRDefault="005D4C9E" w:rsidP="005D4C9E">
      <w:pPr>
        <w:pStyle w:val="Verzeichnis1"/>
        <w:rPr>
          <w:rFonts w:ascii="Arial" w:eastAsiaTheme="minorEastAsia" w:hAnsi="Arial" w:cs="Arial"/>
          <w:noProof/>
          <w:sz w:val="22"/>
          <w:szCs w:val="22"/>
        </w:rPr>
      </w:pPr>
      <w:hyperlink w:anchor="_Toc185616874" w:history="1">
        <w:r w:rsidRPr="005D4C9E">
          <w:rPr>
            <w:rStyle w:val="Hyperlink"/>
            <w:rFonts w:ascii="Arial" w:hAnsi="Arial" w:cs="Arial"/>
            <w:noProof/>
            <w:sz w:val="22"/>
            <w:szCs w:val="22"/>
            <w:lang w:bidi="hi-IN"/>
          </w:rPr>
          <w:t>5.  Minimum requirements for protection against IGM under international law</w:t>
        </w:r>
        <w:r w:rsidRPr="005D4C9E">
          <w:rPr>
            <w:rFonts w:ascii="Arial" w:hAnsi="Arial" w:cs="Arial"/>
            <w:noProof/>
            <w:webHidden/>
            <w:sz w:val="22"/>
            <w:szCs w:val="22"/>
          </w:rPr>
          <w:tab/>
        </w:r>
        <w:r w:rsidRPr="005D4C9E">
          <w:rPr>
            <w:rFonts w:ascii="Arial" w:hAnsi="Arial" w:cs="Arial"/>
            <w:noProof/>
            <w:webHidden/>
            <w:sz w:val="22"/>
            <w:szCs w:val="22"/>
          </w:rPr>
          <w:fldChar w:fldCharType="begin"/>
        </w:r>
        <w:r w:rsidRPr="005D4C9E">
          <w:rPr>
            <w:rFonts w:ascii="Arial" w:hAnsi="Arial" w:cs="Arial"/>
            <w:noProof/>
            <w:webHidden/>
            <w:sz w:val="22"/>
            <w:szCs w:val="22"/>
          </w:rPr>
          <w:instrText xml:space="preserve"> PAGEREF _Toc185616874 \h </w:instrText>
        </w:r>
        <w:r w:rsidRPr="005D4C9E">
          <w:rPr>
            <w:rFonts w:ascii="Arial" w:hAnsi="Arial" w:cs="Arial"/>
            <w:noProof/>
            <w:webHidden/>
            <w:sz w:val="22"/>
            <w:szCs w:val="22"/>
          </w:rPr>
        </w:r>
        <w:r w:rsidRPr="005D4C9E">
          <w:rPr>
            <w:rFonts w:ascii="Arial" w:hAnsi="Arial" w:cs="Arial"/>
            <w:noProof/>
            <w:webHidden/>
            <w:sz w:val="22"/>
            <w:szCs w:val="22"/>
          </w:rPr>
          <w:fldChar w:fldCharType="separate"/>
        </w:r>
        <w:r w:rsidR="002D05ED">
          <w:rPr>
            <w:rFonts w:ascii="Arial" w:hAnsi="Arial" w:cs="Arial"/>
            <w:noProof/>
            <w:webHidden/>
            <w:sz w:val="22"/>
            <w:szCs w:val="22"/>
          </w:rPr>
          <w:t>6</w:t>
        </w:r>
        <w:r w:rsidRPr="005D4C9E">
          <w:rPr>
            <w:rFonts w:ascii="Arial" w:hAnsi="Arial" w:cs="Arial"/>
            <w:noProof/>
            <w:webHidden/>
            <w:sz w:val="22"/>
            <w:szCs w:val="22"/>
          </w:rPr>
          <w:fldChar w:fldCharType="end"/>
        </w:r>
      </w:hyperlink>
    </w:p>
    <w:p w:rsidR="005D4C9E" w:rsidRPr="005D4C9E" w:rsidRDefault="005D4C9E" w:rsidP="005D4C9E">
      <w:pPr>
        <w:pStyle w:val="Verzeichnis1"/>
        <w:rPr>
          <w:rFonts w:ascii="Arial" w:eastAsiaTheme="minorEastAsia" w:hAnsi="Arial" w:cs="Arial"/>
          <w:noProof/>
          <w:sz w:val="22"/>
          <w:szCs w:val="22"/>
        </w:rPr>
      </w:pPr>
      <w:hyperlink w:anchor="_Toc185616875" w:history="1">
        <w:r w:rsidRPr="005D4C9E">
          <w:rPr>
            <w:rStyle w:val="Hyperlink"/>
            <w:rFonts w:ascii="Arial" w:hAnsi="Arial" w:cs="Arial"/>
            <w:noProof/>
            <w:sz w:val="22"/>
            <w:szCs w:val="22"/>
            <w:lang w:bidi="hi-IN"/>
          </w:rPr>
          <w:t>6.  Existing laws aimed at prohibiting IGM practices</w:t>
        </w:r>
        <w:r w:rsidRPr="005D4C9E">
          <w:rPr>
            <w:rFonts w:ascii="Arial" w:hAnsi="Arial" w:cs="Arial"/>
            <w:noProof/>
            <w:webHidden/>
            <w:sz w:val="22"/>
            <w:szCs w:val="22"/>
          </w:rPr>
          <w:tab/>
        </w:r>
        <w:r w:rsidRPr="005D4C9E">
          <w:rPr>
            <w:rFonts w:ascii="Arial" w:hAnsi="Arial" w:cs="Arial"/>
            <w:noProof/>
            <w:webHidden/>
            <w:sz w:val="22"/>
            <w:szCs w:val="22"/>
          </w:rPr>
          <w:fldChar w:fldCharType="begin"/>
        </w:r>
        <w:r w:rsidRPr="005D4C9E">
          <w:rPr>
            <w:rFonts w:ascii="Arial" w:hAnsi="Arial" w:cs="Arial"/>
            <w:noProof/>
            <w:webHidden/>
            <w:sz w:val="22"/>
            <w:szCs w:val="22"/>
          </w:rPr>
          <w:instrText xml:space="preserve"> PAGEREF _Toc185616875 \h </w:instrText>
        </w:r>
        <w:r w:rsidRPr="005D4C9E">
          <w:rPr>
            <w:rFonts w:ascii="Arial" w:hAnsi="Arial" w:cs="Arial"/>
            <w:noProof/>
            <w:webHidden/>
            <w:sz w:val="22"/>
            <w:szCs w:val="22"/>
          </w:rPr>
        </w:r>
        <w:r w:rsidRPr="005D4C9E">
          <w:rPr>
            <w:rFonts w:ascii="Arial" w:hAnsi="Arial" w:cs="Arial"/>
            <w:noProof/>
            <w:webHidden/>
            <w:sz w:val="22"/>
            <w:szCs w:val="22"/>
          </w:rPr>
          <w:fldChar w:fldCharType="separate"/>
        </w:r>
        <w:r w:rsidR="002D05ED">
          <w:rPr>
            <w:rFonts w:ascii="Arial" w:hAnsi="Arial" w:cs="Arial"/>
            <w:noProof/>
            <w:webHidden/>
            <w:sz w:val="22"/>
            <w:szCs w:val="22"/>
          </w:rPr>
          <w:t>8</w:t>
        </w:r>
        <w:r w:rsidRPr="005D4C9E">
          <w:rPr>
            <w:rFonts w:ascii="Arial" w:hAnsi="Arial" w:cs="Arial"/>
            <w:noProof/>
            <w:webHidden/>
            <w:sz w:val="22"/>
            <w:szCs w:val="22"/>
          </w:rPr>
          <w:fldChar w:fldCharType="end"/>
        </w:r>
      </w:hyperlink>
    </w:p>
    <w:p w:rsidR="005D4C9E" w:rsidRPr="005D4C9E" w:rsidRDefault="005D4C9E" w:rsidP="005D4C9E">
      <w:pPr>
        <w:pStyle w:val="Verzeichnis1"/>
        <w:rPr>
          <w:rFonts w:ascii="Arial" w:eastAsiaTheme="minorEastAsia" w:hAnsi="Arial" w:cs="Arial"/>
          <w:noProof/>
          <w:sz w:val="22"/>
          <w:szCs w:val="22"/>
        </w:rPr>
      </w:pPr>
      <w:hyperlink w:anchor="_Toc185616876" w:history="1">
        <w:r w:rsidRPr="005D4C9E">
          <w:rPr>
            <w:rStyle w:val="Hyperlink"/>
            <w:rFonts w:ascii="Arial" w:hAnsi="Arial" w:cs="Arial"/>
            <w:noProof/>
            <w:sz w:val="22"/>
            <w:szCs w:val="22"/>
            <w:lang w:bidi="hi-IN"/>
          </w:rPr>
          <w:t>7.  IGM practices are violence, NOT a “h</w:t>
        </w:r>
        <w:r w:rsidRPr="005D4C9E">
          <w:rPr>
            <w:rStyle w:val="Hyperlink"/>
            <w:rFonts w:ascii="Arial" w:hAnsi="Arial" w:cs="Arial"/>
            <w:noProof/>
            <w:sz w:val="22"/>
            <w:szCs w:val="22"/>
            <w:lang w:bidi="hi-IN"/>
          </w:rPr>
          <w:t>e</w:t>
        </w:r>
        <w:r w:rsidRPr="005D4C9E">
          <w:rPr>
            <w:rStyle w:val="Hyperlink"/>
            <w:rFonts w:ascii="Arial" w:hAnsi="Arial" w:cs="Arial"/>
            <w:noProof/>
            <w:sz w:val="22"/>
            <w:szCs w:val="22"/>
            <w:lang w:bidi="hi-IN"/>
          </w:rPr>
          <w:t>alth care”</w:t>
        </w:r>
        <w:r w:rsidR="001370A1">
          <w:rPr>
            <w:rStyle w:val="Hyperlink"/>
            <w:rFonts w:ascii="Arial" w:hAnsi="Arial" w:cs="Arial"/>
            <w:noProof/>
            <w:sz w:val="22"/>
            <w:szCs w:val="22"/>
            <w:lang w:bidi="hi-IN"/>
          </w:rPr>
          <w:t>,</w:t>
        </w:r>
        <w:r w:rsidRPr="005D4C9E">
          <w:rPr>
            <w:rStyle w:val="Hyperlink"/>
            <w:rFonts w:ascii="Arial" w:hAnsi="Arial" w:cs="Arial"/>
            <w:noProof/>
            <w:sz w:val="22"/>
            <w:szCs w:val="22"/>
            <w:lang w:bidi="hi-IN"/>
          </w:rPr>
          <w:t xml:space="preserve"> “discrimination” or “gender identity” issue</w:t>
        </w:r>
        <w:r w:rsidRPr="005D4C9E">
          <w:rPr>
            <w:rFonts w:ascii="Arial" w:hAnsi="Arial" w:cs="Arial"/>
            <w:noProof/>
            <w:webHidden/>
            <w:sz w:val="22"/>
            <w:szCs w:val="22"/>
          </w:rPr>
          <w:tab/>
        </w:r>
        <w:r w:rsidRPr="005D4C9E">
          <w:rPr>
            <w:rFonts w:ascii="Arial" w:hAnsi="Arial" w:cs="Arial"/>
            <w:noProof/>
            <w:webHidden/>
            <w:sz w:val="22"/>
            <w:szCs w:val="22"/>
          </w:rPr>
          <w:fldChar w:fldCharType="begin"/>
        </w:r>
        <w:r w:rsidRPr="005D4C9E">
          <w:rPr>
            <w:rFonts w:ascii="Arial" w:hAnsi="Arial" w:cs="Arial"/>
            <w:noProof/>
            <w:webHidden/>
            <w:sz w:val="22"/>
            <w:szCs w:val="22"/>
          </w:rPr>
          <w:instrText xml:space="preserve"> PAGEREF _Toc185616876 \h </w:instrText>
        </w:r>
        <w:r w:rsidRPr="005D4C9E">
          <w:rPr>
            <w:rFonts w:ascii="Arial" w:hAnsi="Arial" w:cs="Arial"/>
            <w:noProof/>
            <w:webHidden/>
            <w:sz w:val="22"/>
            <w:szCs w:val="22"/>
          </w:rPr>
        </w:r>
        <w:r w:rsidRPr="005D4C9E">
          <w:rPr>
            <w:rFonts w:ascii="Arial" w:hAnsi="Arial" w:cs="Arial"/>
            <w:noProof/>
            <w:webHidden/>
            <w:sz w:val="22"/>
            <w:szCs w:val="22"/>
          </w:rPr>
          <w:fldChar w:fldCharType="separate"/>
        </w:r>
        <w:r w:rsidR="002D05ED">
          <w:rPr>
            <w:rFonts w:ascii="Arial" w:hAnsi="Arial" w:cs="Arial"/>
            <w:noProof/>
            <w:webHidden/>
            <w:sz w:val="22"/>
            <w:szCs w:val="22"/>
          </w:rPr>
          <w:t>9</w:t>
        </w:r>
        <w:r w:rsidRPr="005D4C9E">
          <w:rPr>
            <w:rFonts w:ascii="Arial" w:hAnsi="Arial" w:cs="Arial"/>
            <w:noProof/>
            <w:webHidden/>
            <w:sz w:val="22"/>
            <w:szCs w:val="22"/>
          </w:rPr>
          <w:fldChar w:fldCharType="end"/>
        </w:r>
      </w:hyperlink>
    </w:p>
    <w:p w:rsidR="005D4C9E" w:rsidRPr="005D4C9E" w:rsidRDefault="005D4C9E" w:rsidP="005D4C9E">
      <w:pPr>
        <w:pStyle w:val="Verzeichnis1"/>
        <w:rPr>
          <w:rFonts w:ascii="Arial" w:eastAsiaTheme="minorEastAsia" w:hAnsi="Arial" w:cs="Arial"/>
          <w:noProof/>
          <w:sz w:val="22"/>
          <w:szCs w:val="22"/>
        </w:rPr>
      </w:pPr>
      <w:hyperlink w:anchor="_Toc185616877" w:history="1">
        <w:r w:rsidRPr="005D4C9E">
          <w:rPr>
            <w:rStyle w:val="Hyperlink"/>
            <w:rFonts w:ascii="Arial" w:hAnsi="Arial" w:cs="Arial"/>
            <w:noProof/>
            <w:spacing w:val="24"/>
            <w:kern w:val="36"/>
            <w:sz w:val="22"/>
            <w:szCs w:val="22"/>
            <w:lang w:bidi="hi-IN"/>
          </w:rPr>
          <w:t>ANNEXE</w:t>
        </w:r>
        <w:r w:rsidR="001370A1">
          <w:rPr>
            <w:rStyle w:val="Hyperlink"/>
            <w:rFonts w:ascii="Arial" w:hAnsi="Arial" w:cs="Arial"/>
            <w:noProof/>
            <w:spacing w:val="24"/>
            <w:kern w:val="36"/>
            <w:sz w:val="22"/>
            <w:szCs w:val="22"/>
            <w:lang w:bidi="hi-IN"/>
          </w:rPr>
          <w:t>:</w:t>
        </w:r>
        <w:r w:rsidRPr="005D4C9E">
          <w:rPr>
            <w:rStyle w:val="Hyperlink"/>
            <w:rFonts w:ascii="Arial" w:hAnsi="Arial" w:cs="Arial"/>
            <w:noProof/>
            <w:spacing w:val="24"/>
            <w:kern w:val="36"/>
            <w:sz w:val="22"/>
            <w:szCs w:val="22"/>
            <w:lang w:bidi="hi-IN"/>
          </w:rPr>
          <w:t xml:space="preserve"> </w:t>
        </w:r>
        <w:r w:rsidRPr="005D4C9E">
          <w:rPr>
            <w:rStyle w:val="Hyperlink"/>
            <w:rFonts w:ascii="Arial" w:hAnsi="Arial" w:cs="Arial"/>
            <w:noProof/>
            <w:sz w:val="22"/>
            <w:szCs w:val="22"/>
            <w:lang w:bidi="hi-IN"/>
          </w:rPr>
          <w:t>98 Concluding Observations recognising IGM practices as a serious violation</w:t>
        </w:r>
        <w:r w:rsidRPr="005D4C9E">
          <w:rPr>
            <w:rFonts w:ascii="Arial" w:hAnsi="Arial" w:cs="Arial"/>
            <w:noProof/>
            <w:webHidden/>
            <w:sz w:val="22"/>
            <w:szCs w:val="22"/>
          </w:rPr>
          <w:tab/>
        </w:r>
        <w:r w:rsidRPr="005D4C9E">
          <w:rPr>
            <w:rFonts w:ascii="Arial" w:hAnsi="Arial" w:cs="Arial"/>
            <w:noProof/>
            <w:webHidden/>
            <w:sz w:val="22"/>
            <w:szCs w:val="22"/>
          </w:rPr>
          <w:fldChar w:fldCharType="begin"/>
        </w:r>
        <w:r w:rsidRPr="005D4C9E">
          <w:rPr>
            <w:rFonts w:ascii="Arial" w:hAnsi="Arial" w:cs="Arial"/>
            <w:noProof/>
            <w:webHidden/>
            <w:sz w:val="22"/>
            <w:szCs w:val="22"/>
          </w:rPr>
          <w:instrText xml:space="preserve"> PAGEREF _Toc185616877 \h </w:instrText>
        </w:r>
        <w:r w:rsidRPr="005D4C9E">
          <w:rPr>
            <w:rFonts w:ascii="Arial" w:hAnsi="Arial" w:cs="Arial"/>
            <w:noProof/>
            <w:webHidden/>
            <w:sz w:val="22"/>
            <w:szCs w:val="22"/>
          </w:rPr>
        </w:r>
        <w:r w:rsidRPr="005D4C9E">
          <w:rPr>
            <w:rFonts w:ascii="Arial" w:hAnsi="Arial" w:cs="Arial"/>
            <w:noProof/>
            <w:webHidden/>
            <w:sz w:val="22"/>
            <w:szCs w:val="22"/>
          </w:rPr>
          <w:fldChar w:fldCharType="separate"/>
        </w:r>
        <w:r w:rsidR="002D05ED">
          <w:rPr>
            <w:rFonts w:ascii="Arial" w:hAnsi="Arial" w:cs="Arial"/>
            <w:noProof/>
            <w:webHidden/>
            <w:sz w:val="22"/>
            <w:szCs w:val="22"/>
          </w:rPr>
          <w:t>11</w:t>
        </w:r>
        <w:r w:rsidRPr="005D4C9E">
          <w:rPr>
            <w:rFonts w:ascii="Arial" w:hAnsi="Arial" w:cs="Arial"/>
            <w:noProof/>
            <w:webHidden/>
            <w:sz w:val="22"/>
            <w:szCs w:val="22"/>
          </w:rPr>
          <w:fldChar w:fldCharType="end"/>
        </w:r>
      </w:hyperlink>
    </w:p>
    <w:p w:rsidR="00C81701" w:rsidRPr="00B8514C" w:rsidRDefault="00715692" w:rsidP="005D4C9E">
      <w:pPr>
        <w:pStyle w:val="EinfacherAbsatz"/>
        <w:spacing w:after="100" w:line="240" w:lineRule="auto"/>
        <w:jc w:val="center"/>
        <w:rPr>
          <w:rFonts w:ascii="Arial" w:eastAsia="ColossalisBold" w:hAnsi="Arial" w:cs="Arial"/>
          <w:b/>
          <w:bCs/>
          <w:color w:val="5E175E"/>
          <w:spacing w:val="11"/>
          <w:w w:val="95"/>
          <w:sz w:val="26"/>
          <w:szCs w:val="26"/>
          <w:lang w:val="en-GB"/>
        </w:rPr>
      </w:pPr>
      <w:r w:rsidRPr="005D4C9E">
        <w:rPr>
          <w:rFonts w:ascii="Arial" w:eastAsia="ColossalisBold" w:hAnsi="Arial" w:cs="Arial"/>
          <w:b/>
          <w:bCs/>
          <w:color w:val="5E175E"/>
          <w:spacing w:val="11"/>
          <w:w w:val="95"/>
          <w:sz w:val="22"/>
          <w:szCs w:val="22"/>
          <w:lang w:val="en-GB"/>
        </w:rPr>
        <w:fldChar w:fldCharType="end"/>
      </w:r>
    </w:p>
    <w:p w:rsidR="00FB1FE4" w:rsidRPr="00B8514C" w:rsidRDefault="00FB1FE4" w:rsidP="00D64043">
      <w:pPr>
        <w:rPr>
          <w:rFonts w:asciiTheme="majorBidi" w:eastAsia="Baskerville" w:hAnsiTheme="majorBidi" w:cstheme="majorBidi"/>
          <w:color w:val="000000"/>
          <w:spacing w:val="2"/>
          <w:kern w:val="1"/>
          <w:sz w:val="20"/>
          <w:szCs w:val="20"/>
          <w:lang w:val="en-GB" w:bidi="hi-IN"/>
        </w:rPr>
      </w:pPr>
      <w:r w:rsidRPr="00B8514C">
        <w:rPr>
          <w:rFonts w:asciiTheme="majorBidi" w:hAnsiTheme="majorBidi" w:cstheme="majorBidi"/>
          <w:sz w:val="20"/>
          <w:szCs w:val="20"/>
          <w:lang w:val="en-GB"/>
        </w:rPr>
        <w:br w:type="page"/>
      </w:r>
    </w:p>
    <w:p w:rsidR="004E75AF" w:rsidRPr="009B6D95" w:rsidRDefault="009B6D95" w:rsidP="009B6D95">
      <w:pPr>
        <w:pStyle w:val="Title2"/>
      </w:pPr>
      <w:bookmarkStart w:id="1" w:name="_Toc185616870"/>
      <w:r w:rsidRPr="009B6D95">
        <w:lastRenderedPageBreak/>
        <w:t xml:space="preserve">1.  </w:t>
      </w:r>
      <w:r w:rsidR="004E75AF" w:rsidRPr="009B6D95">
        <w:t>Introduction</w:t>
      </w:r>
      <w:bookmarkEnd w:id="1"/>
    </w:p>
    <w:p w:rsidR="004A7A8C" w:rsidRPr="00B8514C" w:rsidRDefault="00E90BDB" w:rsidP="00AB0F46">
      <w:pPr>
        <w:pStyle w:val="absatzschattenbericht"/>
        <w:rPr>
          <w:lang w:val="en-GB"/>
        </w:rPr>
      </w:pPr>
      <w:r w:rsidRPr="00B8514C">
        <w:rPr>
          <w:b/>
          <w:bCs/>
          <w:lang w:val="en-GB"/>
        </w:rPr>
        <w:t>StopIGM.org / Zwischengeschlecht.org</w:t>
      </w:r>
      <w:r w:rsidRPr="00B8514C">
        <w:rPr>
          <w:lang w:val="en-GB"/>
        </w:rPr>
        <w:t xml:space="preserve">, founded in 2007, is an international intersex human rights NGO based in Switzerland working to end </w:t>
      </w:r>
      <w:r w:rsidR="00B06B0A" w:rsidRPr="00B8514C">
        <w:rPr>
          <w:lang w:val="en-GB"/>
        </w:rPr>
        <w:t>i</w:t>
      </w:r>
      <w:r w:rsidR="004B5651" w:rsidRPr="00B8514C">
        <w:rPr>
          <w:lang w:val="en-GB"/>
        </w:rPr>
        <w:t xml:space="preserve">ntersex </w:t>
      </w:r>
      <w:r w:rsidR="00B06B0A" w:rsidRPr="00B8514C">
        <w:rPr>
          <w:lang w:val="en-GB"/>
        </w:rPr>
        <w:t>g</w:t>
      </w:r>
      <w:r w:rsidR="004B5651" w:rsidRPr="00B8514C">
        <w:rPr>
          <w:lang w:val="en-GB"/>
        </w:rPr>
        <w:t xml:space="preserve">enital </w:t>
      </w:r>
      <w:r w:rsidR="00B06B0A" w:rsidRPr="00B8514C">
        <w:rPr>
          <w:lang w:val="en-GB"/>
        </w:rPr>
        <w:t>m</w:t>
      </w:r>
      <w:r w:rsidR="004B5651" w:rsidRPr="00B8514C">
        <w:rPr>
          <w:lang w:val="en-GB"/>
        </w:rPr>
        <w:t>utilation (IGM)</w:t>
      </w:r>
      <w:r w:rsidRPr="00B8514C">
        <w:rPr>
          <w:lang w:val="en-GB"/>
        </w:rPr>
        <w:t xml:space="preserve"> and other human rights violations perpetrated on intersex people, according to </w:t>
      </w:r>
      <w:r w:rsidR="00B04516" w:rsidRPr="00B8514C">
        <w:rPr>
          <w:lang w:val="en-GB"/>
        </w:rPr>
        <w:t xml:space="preserve">its </w:t>
      </w:r>
      <w:r w:rsidRPr="00B8514C">
        <w:rPr>
          <w:lang w:val="en-GB"/>
        </w:rPr>
        <w:t xml:space="preserve">motto, “Human Rights for Hermaphrodites, too!” </w:t>
      </w:r>
      <w:r w:rsidR="004458B0" w:rsidRPr="00B8514C">
        <w:rPr>
          <w:lang w:val="en-GB"/>
        </w:rPr>
        <w:t>According to its charter,</w:t>
      </w:r>
      <w:r w:rsidR="004458B0" w:rsidRPr="00B8514C">
        <w:rPr>
          <w:rStyle w:val="Funotenzeichen"/>
          <w:sz w:val="23"/>
          <w:szCs w:val="23"/>
          <w:lang w:val="en-GB"/>
        </w:rPr>
        <w:footnoteReference w:id="1"/>
      </w:r>
      <w:r w:rsidR="004458B0" w:rsidRPr="00B8514C">
        <w:rPr>
          <w:lang w:val="en-GB"/>
        </w:rPr>
        <w:t xml:space="preserve"> </w:t>
      </w:r>
      <w:r w:rsidRPr="00B8514C">
        <w:rPr>
          <w:lang w:val="en-GB"/>
        </w:rPr>
        <w:t xml:space="preserve">StopIGM.org </w:t>
      </w:r>
      <w:r w:rsidR="004458B0" w:rsidRPr="00B8514C">
        <w:rPr>
          <w:lang w:val="en-GB"/>
        </w:rPr>
        <w:t xml:space="preserve">works to support persons concerned seeking redress and justice, and </w:t>
      </w:r>
      <w:r w:rsidRPr="00B8514C">
        <w:rPr>
          <w:lang w:val="en-GB"/>
        </w:rPr>
        <w:t>regularly reports to Treaty bodies, often in collaboration with local intersex advocates and organisations</w:t>
      </w:r>
      <w:r w:rsidR="00D80D26" w:rsidRPr="00B8514C">
        <w:rPr>
          <w:lang w:val="en-GB"/>
        </w:rPr>
        <w:t>,</w:t>
      </w:r>
      <w:r w:rsidRPr="00B8514C">
        <w:rPr>
          <w:lang w:val="en-GB"/>
        </w:rPr>
        <w:t xml:space="preserve"> </w:t>
      </w:r>
      <w:r w:rsidR="00B8096F" w:rsidRPr="00B8514C">
        <w:rPr>
          <w:lang w:val="en-GB"/>
        </w:rPr>
        <w:t>submitting 13</w:t>
      </w:r>
      <w:r w:rsidR="007D24FA">
        <w:rPr>
          <w:lang w:val="en-GB"/>
        </w:rPr>
        <w:t>2</w:t>
      </w:r>
      <w:r w:rsidR="00B8096F" w:rsidRPr="00B8514C">
        <w:rPr>
          <w:lang w:val="en-GB"/>
        </w:rPr>
        <w:t xml:space="preserve"> NGO reports in the last decade, resulting in</w:t>
      </w:r>
      <w:r w:rsidRPr="00B8514C">
        <w:rPr>
          <w:lang w:val="en-GB"/>
        </w:rPr>
        <w:t xml:space="preserve"> the majority of the currently </w:t>
      </w:r>
      <w:r w:rsidR="00D64043" w:rsidRPr="00B8514C">
        <w:rPr>
          <w:lang w:val="en-GB"/>
        </w:rPr>
        <w:t>98</w:t>
      </w:r>
      <w:r w:rsidRPr="00B8514C">
        <w:rPr>
          <w:lang w:val="en-GB"/>
        </w:rPr>
        <w:t xml:space="preserve"> Concluding Observations </w:t>
      </w:r>
      <w:r w:rsidR="003D54A5">
        <w:rPr>
          <w:lang w:val="en-GB"/>
        </w:rPr>
        <w:t>recognising</w:t>
      </w:r>
      <w:r w:rsidRPr="00B8514C">
        <w:rPr>
          <w:lang w:val="en-GB"/>
        </w:rPr>
        <w:t xml:space="preserve"> IGM practices as a serious violation of non-</w:t>
      </w:r>
      <w:proofErr w:type="spellStart"/>
      <w:r w:rsidRPr="00B8514C">
        <w:rPr>
          <w:lang w:val="en-GB"/>
        </w:rPr>
        <w:t>derogable</w:t>
      </w:r>
      <w:proofErr w:type="spellEnd"/>
      <w:r w:rsidRPr="00B8514C">
        <w:rPr>
          <w:lang w:val="en-GB"/>
        </w:rPr>
        <w:t xml:space="preserve"> human rights, namely </w:t>
      </w:r>
      <w:r w:rsidR="003D54A5">
        <w:rPr>
          <w:lang w:val="en-GB"/>
        </w:rPr>
        <w:t xml:space="preserve">as a </w:t>
      </w:r>
      <w:r w:rsidRPr="00B8514C">
        <w:rPr>
          <w:lang w:val="en-GB"/>
        </w:rPr>
        <w:t>harmful practice</w:t>
      </w:r>
      <w:r w:rsidR="00B8096F" w:rsidRPr="00B8514C">
        <w:rPr>
          <w:lang w:val="en-GB"/>
        </w:rPr>
        <w:t xml:space="preserve">, cruel, inhuman or degrading treatment, and </w:t>
      </w:r>
      <w:r w:rsidR="00B67A0E" w:rsidRPr="00B8514C">
        <w:rPr>
          <w:lang w:val="en-GB"/>
        </w:rPr>
        <w:t xml:space="preserve">a </w:t>
      </w:r>
      <w:r w:rsidR="00B8096F" w:rsidRPr="00B8514C">
        <w:rPr>
          <w:lang w:val="en-GB"/>
        </w:rPr>
        <w:t>violation of the integrity of the person</w:t>
      </w:r>
      <w:r w:rsidR="00B67A0E" w:rsidRPr="00B8514C">
        <w:rPr>
          <w:lang w:val="en-GB"/>
        </w:rPr>
        <w:t xml:space="preserve"> (see Annexe).</w:t>
      </w:r>
    </w:p>
    <w:p w:rsidR="00B66087" w:rsidRPr="009B6D95" w:rsidRDefault="00B66087" w:rsidP="00AB0F46">
      <w:pPr>
        <w:pStyle w:val="absatzschattenbericht"/>
        <w:rPr>
          <w:lang w:val="en-GB"/>
        </w:rPr>
      </w:pPr>
      <w:r w:rsidRPr="009B6D95">
        <w:rPr>
          <w:b/>
          <w:bCs/>
          <w:lang w:val="en-GB"/>
        </w:rPr>
        <w:t>This submission</w:t>
      </w:r>
      <w:r w:rsidRPr="009B6D95">
        <w:rPr>
          <w:lang w:val="en-GB"/>
        </w:rPr>
        <w:t xml:space="preserve"> focuses on medical and non-medical violence and harmful practices</w:t>
      </w:r>
      <w:r w:rsidR="00CE159C">
        <w:rPr>
          <w:lang w:val="en-GB"/>
        </w:rPr>
        <w:t>, inhuman treatment and other serious violations</w:t>
      </w:r>
      <w:r w:rsidRPr="009B6D95">
        <w:rPr>
          <w:lang w:val="en-GB"/>
        </w:rPr>
        <w:t xml:space="preserve"> against intersex children, adolescents and adults, its root causes, the (lack of) access to truth, justice and reparations for survivors, </w:t>
      </w:r>
      <w:r w:rsidR="008B5FB5">
        <w:rPr>
          <w:lang w:val="en-GB"/>
        </w:rPr>
        <w:t xml:space="preserve">and </w:t>
      </w:r>
      <w:r w:rsidRPr="009B6D95">
        <w:rPr>
          <w:lang w:val="en-GB"/>
        </w:rPr>
        <w:t xml:space="preserve">the minimum requirements to effectively combat such violence according to the relevant UN Conventions. </w:t>
      </w:r>
      <w:proofErr w:type="gramStart"/>
      <w:r w:rsidRPr="009B6D95">
        <w:rPr>
          <w:lang w:val="en-GB"/>
        </w:rPr>
        <w:t>It</w:t>
      </w:r>
      <w:proofErr w:type="gramEnd"/>
      <w:r w:rsidRPr="009B6D95">
        <w:rPr>
          <w:lang w:val="en-GB"/>
        </w:rPr>
        <w:t xml:space="preserve"> further analyses </w:t>
      </w:r>
      <w:r w:rsidR="003B2E19">
        <w:rPr>
          <w:lang w:val="en-GB"/>
        </w:rPr>
        <w:t>Treaty</w:t>
      </w:r>
      <w:r w:rsidRPr="009B6D95">
        <w:rPr>
          <w:lang w:val="en-GB"/>
        </w:rPr>
        <w:t xml:space="preserve"> body Concluding Observations and the</w:t>
      </w:r>
      <w:r w:rsidR="00CE159C">
        <w:rPr>
          <w:lang w:val="en-GB"/>
        </w:rPr>
        <w:t xml:space="preserve"> so far</w:t>
      </w:r>
      <w:r w:rsidRPr="009B6D95">
        <w:rPr>
          <w:lang w:val="en-GB"/>
        </w:rPr>
        <w:t xml:space="preserve"> </w:t>
      </w:r>
      <w:r w:rsidR="00AB0F46" w:rsidRPr="009B6D95">
        <w:rPr>
          <w:lang w:val="en-GB"/>
        </w:rPr>
        <w:t>6 </w:t>
      </w:r>
      <w:r w:rsidR="00CE159C">
        <w:rPr>
          <w:lang w:val="en-GB"/>
        </w:rPr>
        <w:t>(</w:t>
      </w:r>
      <w:r w:rsidRPr="009B6D95">
        <w:rPr>
          <w:lang w:val="en-GB"/>
        </w:rPr>
        <w:t xml:space="preserve">insufficient) legislative measures taken by states. </w:t>
      </w:r>
    </w:p>
    <w:p w:rsidR="004A7A8C" w:rsidRPr="00B8514C" w:rsidRDefault="00A30535" w:rsidP="00B8514C">
      <w:pPr>
        <w:pStyle w:val="Title2"/>
        <w:rPr>
          <w:rFonts w:eastAsia="Baskerville"/>
          <w:szCs w:val="24"/>
        </w:rPr>
      </w:pPr>
      <w:bookmarkStart w:id="2" w:name="_Toc62412825"/>
      <w:bookmarkStart w:id="3" w:name="_Toc185616871"/>
      <w:r>
        <w:t>2</w:t>
      </w:r>
      <w:r w:rsidR="004A7A8C" w:rsidRPr="00B8514C">
        <w:t xml:space="preserve">.  </w:t>
      </w:r>
      <w:bookmarkEnd w:id="2"/>
      <w:r w:rsidR="000D119E" w:rsidRPr="00B8514C">
        <w:t>Intersex</w:t>
      </w:r>
      <w:r w:rsidR="00B67A0E" w:rsidRPr="00B8514C">
        <w:t xml:space="preserve"> and </w:t>
      </w:r>
      <w:r w:rsidR="00010522">
        <w:t>intersex genital mutilation (IGM)</w:t>
      </w:r>
      <w:r w:rsidR="00836BA9" w:rsidRPr="00B8514C">
        <w:t xml:space="preserve">: </w:t>
      </w:r>
      <w:r w:rsidR="005B31E2" w:rsidRPr="00B8514C">
        <w:t>Frame of reference</w:t>
      </w:r>
      <w:bookmarkEnd w:id="3"/>
    </w:p>
    <w:p w:rsidR="000D119E" w:rsidRPr="00B8514C" w:rsidRDefault="000D119E" w:rsidP="00AB0F46">
      <w:pPr>
        <w:pStyle w:val="absatzschattenbericht"/>
        <w:rPr>
          <w:lang w:val="en-GB"/>
        </w:rPr>
      </w:pPr>
      <w:r w:rsidRPr="00B8514C">
        <w:rPr>
          <w:b/>
          <w:lang w:val="en-GB"/>
        </w:rPr>
        <w:t>Intersex persons</w:t>
      </w:r>
      <w:r w:rsidRPr="00B8514C">
        <w:rPr>
          <w:lang w:val="en-GB"/>
        </w:rPr>
        <w:t xml:space="preserve">, in the vernacular also known as hermaphrodites, or medically as persons with </w:t>
      </w:r>
      <w:r w:rsidRPr="00B8514C">
        <w:rPr>
          <w:i/>
          <w:lang w:val="en-GB"/>
        </w:rPr>
        <w:t>“Disorders of Sex Development (DSD)”</w:t>
      </w:r>
      <w:r w:rsidRPr="00B8514C">
        <w:rPr>
          <w:lang w:val="en-GB"/>
        </w:rPr>
        <w:t>,</w:t>
      </w:r>
      <w:r w:rsidRPr="00B8514C">
        <w:rPr>
          <w:vertAlign w:val="superscript"/>
          <w:lang w:val="en-GB"/>
        </w:rPr>
        <w:t xml:space="preserve"> </w:t>
      </w:r>
      <w:r w:rsidRPr="00B8514C">
        <w:rPr>
          <w:lang w:val="en-GB"/>
        </w:rPr>
        <w:t xml:space="preserve">are people born with </w:t>
      </w:r>
      <w:r w:rsidRPr="00B8514C">
        <w:rPr>
          <w:b/>
          <w:lang w:val="en-GB"/>
        </w:rPr>
        <w:t>variations of reproductive anatomy</w:t>
      </w:r>
      <w:r w:rsidRPr="00B8514C">
        <w:rPr>
          <w:lang w:val="en-GB"/>
        </w:rPr>
        <w:t xml:space="preserve">, or “atypical” reproductive organs, including atypical genitals, atypical sex hormone producing organs, atypical response to sex hormones, atypical genetic make-up, atypical secondary sex markers. Many intersex forms are usually detected at </w:t>
      </w:r>
      <w:r w:rsidRPr="00B8514C">
        <w:rPr>
          <w:b/>
          <w:lang w:val="en-GB"/>
        </w:rPr>
        <w:t>birth</w:t>
      </w:r>
      <w:r w:rsidRPr="00B8514C">
        <w:rPr>
          <w:lang w:val="en-GB"/>
        </w:rPr>
        <w:t xml:space="preserve"> or earlier during </w:t>
      </w:r>
      <w:r w:rsidRPr="00B8514C">
        <w:rPr>
          <w:b/>
          <w:lang w:val="en-GB"/>
        </w:rPr>
        <w:t>prenatal testing</w:t>
      </w:r>
      <w:r w:rsidRPr="00B8514C">
        <w:rPr>
          <w:lang w:val="en-GB"/>
        </w:rPr>
        <w:t xml:space="preserve">, others may only become apparent at </w:t>
      </w:r>
      <w:r w:rsidRPr="00B8514C">
        <w:rPr>
          <w:b/>
          <w:lang w:val="en-GB"/>
        </w:rPr>
        <w:t>puberty</w:t>
      </w:r>
      <w:r w:rsidRPr="00B8514C">
        <w:rPr>
          <w:lang w:val="en-GB"/>
        </w:rPr>
        <w:t xml:space="preserve"> or </w:t>
      </w:r>
      <w:r w:rsidRPr="00B8514C">
        <w:rPr>
          <w:b/>
          <w:lang w:val="en-GB"/>
        </w:rPr>
        <w:t>later in life</w:t>
      </w:r>
      <w:r w:rsidRPr="00B8514C">
        <w:rPr>
          <w:lang w:val="en-GB"/>
        </w:rPr>
        <w:t>.</w:t>
      </w:r>
      <w:r w:rsidR="00836BA9" w:rsidRPr="00B8514C">
        <w:rPr>
          <w:rStyle w:val="Funotenzeichen"/>
          <w:sz w:val="23"/>
          <w:szCs w:val="23"/>
          <w:lang w:val="en-GB"/>
        </w:rPr>
        <w:footnoteReference w:id="2"/>
      </w:r>
    </w:p>
    <w:p w:rsidR="003F0172" w:rsidRPr="00B8514C" w:rsidRDefault="003F0172" w:rsidP="00AB0F46">
      <w:pPr>
        <w:pStyle w:val="absatzschattenbericht"/>
        <w:rPr>
          <w:lang w:val="en-GB"/>
        </w:rPr>
      </w:pPr>
      <w:r w:rsidRPr="00B8514C">
        <w:rPr>
          <w:lang w:val="en-GB"/>
        </w:rPr>
        <w:t xml:space="preserve">Depending on the </w:t>
      </w:r>
      <w:r w:rsidRPr="00B8514C">
        <w:rPr>
          <w:b/>
          <w:lang w:val="en-GB"/>
        </w:rPr>
        <w:t>region and social status</w:t>
      </w:r>
      <w:r w:rsidRPr="00B8514C">
        <w:rPr>
          <w:lang w:val="en-GB"/>
        </w:rPr>
        <w:t xml:space="preserve">, intersex children, adolescents and adults are at risk of </w:t>
      </w:r>
      <w:r w:rsidRPr="00B8514C">
        <w:rPr>
          <w:b/>
          <w:lang w:val="en-GB"/>
        </w:rPr>
        <w:t>several serious human rights violations</w:t>
      </w:r>
      <w:r w:rsidRPr="00B8514C">
        <w:rPr>
          <w:lang w:val="en-GB"/>
        </w:rPr>
        <w:t>.</w:t>
      </w:r>
      <w:r w:rsidR="00586102" w:rsidRPr="00B8514C">
        <w:rPr>
          <w:rStyle w:val="Funotenzeichen"/>
          <w:sz w:val="23"/>
          <w:szCs w:val="23"/>
          <w:lang w:val="en-GB"/>
        </w:rPr>
        <w:t xml:space="preserve"> </w:t>
      </w:r>
      <w:r w:rsidR="00586102" w:rsidRPr="00B8514C">
        <w:rPr>
          <w:rStyle w:val="Funotenzeichen"/>
          <w:sz w:val="23"/>
          <w:szCs w:val="23"/>
          <w:lang w:val="en-GB"/>
        </w:rPr>
        <w:footnoteReference w:id="3"/>
      </w:r>
    </w:p>
    <w:p w:rsidR="003F0172" w:rsidRPr="00B8514C" w:rsidRDefault="003F0172" w:rsidP="00AB0F46">
      <w:pPr>
        <w:pStyle w:val="absatzschattenbericht"/>
        <w:rPr>
          <w:b/>
          <w:lang w:val="en-GB"/>
        </w:rPr>
      </w:pPr>
      <w:r w:rsidRPr="00B8514C">
        <w:rPr>
          <w:lang w:val="en-GB"/>
        </w:rPr>
        <w:t xml:space="preserve">In </w:t>
      </w:r>
      <w:r w:rsidRPr="00B8514C">
        <w:rPr>
          <w:b/>
          <w:lang w:val="en-GB"/>
        </w:rPr>
        <w:t>“developed countries”</w:t>
      </w:r>
      <w:r w:rsidRPr="00B8514C">
        <w:rPr>
          <w:lang w:val="en-GB"/>
        </w:rPr>
        <w:t xml:space="preserve"> with universal access to paediatric health care</w:t>
      </w:r>
      <w:r w:rsidR="00BC7D64" w:rsidRPr="00B8514C">
        <w:rPr>
          <w:lang w:val="en-GB"/>
        </w:rPr>
        <w:t xml:space="preserve">, or </w:t>
      </w:r>
      <w:r w:rsidR="00BC7D64" w:rsidRPr="00B8514C">
        <w:rPr>
          <w:b/>
          <w:bCs/>
          <w:lang w:val="en-GB"/>
        </w:rPr>
        <w:t xml:space="preserve">where parents can </w:t>
      </w:r>
      <w:r w:rsidR="00DE4A94" w:rsidRPr="00B8514C">
        <w:rPr>
          <w:b/>
          <w:bCs/>
          <w:lang w:val="en-GB"/>
        </w:rPr>
        <w:t>afford</w:t>
      </w:r>
      <w:r w:rsidR="00DE4A94" w:rsidRPr="00B8514C">
        <w:rPr>
          <w:lang w:val="en-GB"/>
        </w:rPr>
        <w:t xml:space="preserve"> </w:t>
      </w:r>
      <w:r w:rsidR="00BC7D64" w:rsidRPr="00B8514C">
        <w:rPr>
          <w:lang w:val="en-GB"/>
        </w:rPr>
        <w:t>private care,</w:t>
      </w:r>
      <w:r w:rsidRPr="00B8514C">
        <w:rPr>
          <w:b/>
          <w:lang w:val="en-GB"/>
        </w:rPr>
        <w:t xml:space="preserve"> 1 to 2 in 1000 </w:t>
      </w:r>
      <w:proofErr w:type="spellStart"/>
      <w:r w:rsidRPr="00B8514C">
        <w:rPr>
          <w:b/>
          <w:lang w:val="en-GB"/>
        </w:rPr>
        <w:t>newborns</w:t>
      </w:r>
      <w:proofErr w:type="spellEnd"/>
      <w:r w:rsidRPr="00B8514C">
        <w:rPr>
          <w:lang w:val="en-GB"/>
        </w:rPr>
        <w:t xml:space="preserve"> are at risk of being submitted to</w:t>
      </w:r>
      <w:r w:rsidR="00BC7D64" w:rsidRPr="00B8514C">
        <w:rPr>
          <w:lang w:val="en-GB"/>
        </w:rPr>
        <w:t xml:space="preserve"> medical</w:t>
      </w:r>
      <w:r w:rsidRPr="00B8514C">
        <w:rPr>
          <w:lang w:val="en-GB"/>
        </w:rPr>
        <w:t xml:space="preserve"> </w:t>
      </w:r>
      <w:r w:rsidRPr="00B8514C">
        <w:rPr>
          <w:b/>
          <w:lang w:val="en-GB"/>
        </w:rPr>
        <w:t>IGM practices</w:t>
      </w:r>
      <w:r w:rsidRPr="00B8514C">
        <w:rPr>
          <w:lang w:val="en-GB"/>
        </w:rPr>
        <w:t xml:space="preserve">, often </w:t>
      </w:r>
      <w:r w:rsidRPr="00B8514C">
        <w:rPr>
          <w:b/>
          <w:lang w:val="en-GB"/>
        </w:rPr>
        <w:t>directly financed by the state</w:t>
      </w:r>
      <w:r w:rsidRPr="00B8514C">
        <w:rPr>
          <w:lang w:val="en-GB"/>
        </w:rPr>
        <w:t xml:space="preserve"> via the public health system.</w:t>
      </w:r>
      <w:r w:rsidRPr="00B8514C">
        <w:rPr>
          <w:rStyle w:val="Funotenzeichen"/>
          <w:sz w:val="23"/>
          <w:szCs w:val="23"/>
          <w:lang w:val="en-GB"/>
        </w:rPr>
        <w:footnoteReference w:id="4"/>
      </w:r>
      <w:r w:rsidR="00DE4A94" w:rsidRPr="00B8514C">
        <w:rPr>
          <w:lang w:val="en-GB"/>
        </w:rPr>
        <w:t xml:space="preserve"> </w:t>
      </w:r>
    </w:p>
    <w:p w:rsidR="003F0172" w:rsidRPr="00B8514C" w:rsidRDefault="003F0172" w:rsidP="00AB0F46">
      <w:pPr>
        <w:pStyle w:val="absatzschattenbericht"/>
        <w:rPr>
          <w:lang w:val="en-GB"/>
        </w:rPr>
      </w:pPr>
      <w:r w:rsidRPr="00B8514C">
        <w:rPr>
          <w:lang w:val="en-GB"/>
        </w:rPr>
        <w:t xml:space="preserve">From </w:t>
      </w:r>
      <w:r w:rsidR="00BC7D64" w:rsidRPr="00B8514C">
        <w:rPr>
          <w:b/>
          <w:lang w:val="en-GB"/>
        </w:rPr>
        <w:t>regions without</w:t>
      </w:r>
      <w:r w:rsidRPr="00B8514C">
        <w:rPr>
          <w:b/>
          <w:lang w:val="en-GB"/>
        </w:rPr>
        <w:t xml:space="preserve"> </w:t>
      </w:r>
      <w:r w:rsidR="00B67A0E" w:rsidRPr="00B8514C">
        <w:rPr>
          <w:b/>
          <w:lang w:val="en-GB"/>
        </w:rPr>
        <w:t xml:space="preserve">universal </w:t>
      </w:r>
      <w:r w:rsidRPr="00B8514C">
        <w:rPr>
          <w:b/>
          <w:lang w:val="en-GB"/>
        </w:rPr>
        <w:t>access to paediatric health care</w:t>
      </w:r>
      <w:r w:rsidRPr="00B8514C">
        <w:rPr>
          <w:lang w:val="en-GB"/>
        </w:rPr>
        <w:t xml:space="preserve">, there are reports of non-medical IGM practices, namely </w:t>
      </w:r>
      <w:r w:rsidRPr="00B8514C">
        <w:rPr>
          <w:b/>
          <w:lang w:val="en-GB"/>
        </w:rPr>
        <w:t>infanticide</w:t>
      </w:r>
      <w:r w:rsidRPr="00B8514C">
        <w:rPr>
          <w:lang w:val="en-GB"/>
        </w:rPr>
        <w:t xml:space="preserve"> of intersex children, of </w:t>
      </w:r>
      <w:r w:rsidRPr="00B8514C">
        <w:rPr>
          <w:b/>
          <w:lang w:val="en-GB"/>
        </w:rPr>
        <w:t>abandonment</w:t>
      </w:r>
      <w:r w:rsidRPr="00B8514C">
        <w:rPr>
          <w:lang w:val="en-GB"/>
        </w:rPr>
        <w:t xml:space="preserve">, of </w:t>
      </w:r>
      <w:r w:rsidRPr="00B8514C">
        <w:rPr>
          <w:b/>
          <w:lang w:val="en-GB"/>
        </w:rPr>
        <w:t>expulsion</w:t>
      </w:r>
      <w:r w:rsidRPr="00B8514C">
        <w:rPr>
          <w:lang w:val="en-GB"/>
        </w:rPr>
        <w:t xml:space="preserve">, of </w:t>
      </w:r>
      <w:r w:rsidRPr="00B8514C">
        <w:rPr>
          <w:b/>
          <w:lang w:val="en-GB"/>
        </w:rPr>
        <w:t>massive bullying</w:t>
      </w:r>
      <w:r w:rsidRPr="00B8514C">
        <w:rPr>
          <w:lang w:val="en-GB"/>
        </w:rPr>
        <w:t xml:space="preserve"> preventing the persons concerned from attending school (recognised by CRC as amounting to a harmful practice), and of </w:t>
      </w:r>
      <w:r w:rsidRPr="00B8514C">
        <w:rPr>
          <w:b/>
          <w:lang w:val="en-GB"/>
        </w:rPr>
        <w:t>murder</w:t>
      </w:r>
      <w:r w:rsidRPr="00B8514C">
        <w:rPr>
          <w:lang w:val="en-GB"/>
        </w:rPr>
        <w:t>.</w:t>
      </w:r>
      <w:r w:rsidRPr="00B8514C">
        <w:rPr>
          <w:rStyle w:val="Funotenzeichen"/>
          <w:sz w:val="23"/>
          <w:szCs w:val="23"/>
          <w:lang w:val="en-GB"/>
        </w:rPr>
        <w:footnoteReference w:id="5"/>
      </w:r>
    </w:p>
    <w:p w:rsidR="00836BA9" w:rsidRPr="00B8514C" w:rsidRDefault="002D74DC" w:rsidP="00AB0F46">
      <w:pPr>
        <w:pStyle w:val="absatzschattenbericht"/>
        <w:rPr>
          <w:lang w:val="en-GB"/>
        </w:rPr>
      </w:pPr>
      <w:r w:rsidRPr="00B8514C">
        <w:rPr>
          <w:b/>
          <w:bCs/>
          <w:lang w:val="en-GB"/>
        </w:rPr>
        <w:lastRenderedPageBreak/>
        <w:t>Medical i</w:t>
      </w:r>
      <w:r w:rsidR="00836BA9" w:rsidRPr="00B8514C">
        <w:rPr>
          <w:b/>
          <w:bCs/>
          <w:lang w:val="en-GB"/>
        </w:rPr>
        <w:t>ntersex</w:t>
      </w:r>
      <w:r w:rsidR="00836BA9" w:rsidRPr="00B8514C">
        <w:rPr>
          <w:b/>
          <w:lang w:val="en-GB"/>
        </w:rPr>
        <w:t xml:space="preserve"> </w:t>
      </w:r>
      <w:r w:rsidR="003F0172" w:rsidRPr="00B8514C">
        <w:rPr>
          <w:b/>
          <w:lang w:val="en-GB"/>
        </w:rPr>
        <w:t>g</w:t>
      </w:r>
      <w:r w:rsidR="00836BA9" w:rsidRPr="00B8514C">
        <w:rPr>
          <w:b/>
          <w:lang w:val="en-GB"/>
        </w:rPr>
        <w:t xml:space="preserve">enital </w:t>
      </w:r>
      <w:r w:rsidR="003F0172" w:rsidRPr="00B8514C">
        <w:rPr>
          <w:b/>
          <w:lang w:val="en-GB"/>
        </w:rPr>
        <w:t>m</w:t>
      </w:r>
      <w:r w:rsidR="00836BA9" w:rsidRPr="00B8514C">
        <w:rPr>
          <w:b/>
          <w:lang w:val="en-GB"/>
        </w:rPr>
        <w:t xml:space="preserve">utilation </w:t>
      </w:r>
      <w:r w:rsidR="00836BA9" w:rsidRPr="00B8514C">
        <w:rPr>
          <w:lang w:val="en-GB"/>
        </w:rPr>
        <w:t xml:space="preserve">includes non-consensual, medically unnecessary, irreversible, cosmetic genital surgeries, and/or other similar medical treatments, including imposition of hormones, performed on children with variations of reproductive anatomy, without evidence of benefit for the children concerned, but </w:t>
      </w:r>
      <w:r w:rsidR="00836BA9" w:rsidRPr="00B8514C">
        <w:rPr>
          <w:b/>
          <w:bCs/>
          <w:lang w:val="en-GB"/>
        </w:rPr>
        <w:t>justified</w:t>
      </w:r>
      <w:r w:rsidR="00836BA9" w:rsidRPr="00B8514C">
        <w:rPr>
          <w:lang w:val="en-GB"/>
        </w:rPr>
        <w:t xml:space="preserve"> by </w:t>
      </w:r>
      <w:r w:rsidR="00836BA9" w:rsidRPr="00B8514C">
        <w:rPr>
          <w:i/>
          <w:iCs/>
          <w:lang w:val="en-GB"/>
        </w:rPr>
        <w:t>“psychosocial indications [...] shaped by the clinician’s own values”</w:t>
      </w:r>
      <w:r w:rsidR="00836BA9" w:rsidRPr="00B8514C">
        <w:rPr>
          <w:lang w:val="en-GB"/>
        </w:rPr>
        <w:t>, the latter informed by societal and cultural norms and beliefs</w:t>
      </w:r>
      <w:r w:rsidRPr="00B8514C">
        <w:rPr>
          <w:lang w:val="en-GB"/>
        </w:rPr>
        <w:t>, namely stigma and taboo associated with being an intersex person</w:t>
      </w:r>
      <w:r w:rsidR="00836BA9" w:rsidRPr="00B8514C">
        <w:rPr>
          <w:lang w:val="en-GB"/>
        </w:rPr>
        <w:t xml:space="preserve">, enabling clinicians to withhold crucial information from both patients and parents, and to submit healthy intersex children to harmful invasive procedures </w:t>
      </w:r>
      <w:r w:rsidR="00836BA9" w:rsidRPr="00B8514C">
        <w:rPr>
          <w:i/>
          <w:iCs/>
          <w:lang w:val="en-GB"/>
        </w:rPr>
        <w:t>“simply because their bodies did not fit social norms”.</w:t>
      </w:r>
      <w:r w:rsidR="00276DCE" w:rsidRPr="00B8514C">
        <w:rPr>
          <w:rStyle w:val="Funotenzeichen"/>
          <w:sz w:val="23"/>
          <w:szCs w:val="23"/>
          <w:lang w:val="en-GB"/>
        </w:rPr>
        <w:footnoteReference w:id="6"/>
      </w:r>
    </w:p>
    <w:p w:rsidR="00782553" w:rsidRPr="00B8514C" w:rsidRDefault="00782553" w:rsidP="00AB0F46">
      <w:pPr>
        <w:pStyle w:val="absatzschattenbericht"/>
        <w:rPr>
          <w:lang w:val="en-GB"/>
        </w:rPr>
      </w:pPr>
      <w:r w:rsidRPr="00B8514C">
        <w:rPr>
          <w:b/>
          <w:lang w:val="en-GB"/>
        </w:rPr>
        <w:t xml:space="preserve">Typical forms </w:t>
      </w:r>
      <w:r w:rsidR="00BC7D64" w:rsidRPr="00B8514C">
        <w:rPr>
          <w:lang w:val="en-GB"/>
        </w:rPr>
        <w:t>of medical IGM practices</w:t>
      </w:r>
      <w:r w:rsidRPr="00B8514C">
        <w:rPr>
          <w:lang w:val="en-GB"/>
        </w:rPr>
        <w:t xml:space="preserve"> include “masculinising” genital surgery</w:t>
      </w:r>
      <w:r w:rsidR="00601136" w:rsidRPr="00B8514C">
        <w:rPr>
          <w:lang w:val="en-GB"/>
        </w:rPr>
        <w:t xml:space="preserve"> (IGM 1)</w:t>
      </w:r>
      <w:r w:rsidRPr="00B8514C">
        <w:rPr>
          <w:lang w:val="en-GB"/>
        </w:rPr>
        <w:t>,</w:t>
      </w:r>
      <w:r w:rsidR="00601136" w:rsidRPr="00B8514C">
        <w:rPr>
          <w:lang w:val="en-GB"/>
        </w:rPr>
        <w:t xml:space="preserve"> “feminising” genital surgery (IGM 2),</w:t>
      </w:r>
      <w:r w:rsidRPr="00B8514C">
        <w:rPr>
          <w:lang w:val="en-GB"/>
        </w:rPr>
        <w:t xml:space="preserve"> sterilising procedures</w:t>
      </w:r>
      <w:r w:rsidR="00601136" w:rsidRPr="00B8514C">
        <w:rPr>
          <w:lang w:val="en-GB"/>
        </w:rPr>
        <w:t xml:space="preserve"> (IGM 3)</w:t>
      </w:r>
      <w:r w:rsidRPr="00B8514C">
        <w:rPr>
          <w:lang w:val="en-GB"/>
        </w:rPr>
        <w:t>, imposition of hormones (including prenatal “therapy”), forced genital exams, vaginal dilations, medical display, human experimentation, selective (late term) abortions and denial of needed health care</w:t>
      </w:r>
      <w:r w:rsidR="00601136" w:rsidRPr="00B8514C">
        <w:rPr>
          <w:lang w:val="en-GB"/>
        </w:rPr>
        <w:t xml:space="preserve"> (IGM 4)</w:t>
      </w:r>
      <w:r w:rsidRPr="00B8514C">
        <w:rPr>
          <w:lang w:val="en-GB"/>
        </w:rPr>
        <w:t>.</w:t>
      </w:r>
      <w:r w:rsidRPr="00B8514C">
        <w:rPr>
          <w:rStyle w:val="Funotenzeichen"/>
          <w:sz w:val="23"/>
          <w:szCs w:val="23"/>
          <w:lang w:val="en-GB"/>
        </w:rPr>
        <w:footnoteReference w:id="7"/>
      </w:r>
    </w:p>
    <w:p w:rsidR="00E62E11" w:rsidRPr="00B8514C" w:rsidRDefault="00E62E11" w:rsidP="00AB0F46">
      <w:pPr>
        <w:pStyle w:val="absatzschattenbericht"/>
        <w:rPr>
          <w:lang w:val="en-GB"/>
        </w:rPr>
      </w:pPr>
      <w:r w:rsidRPr="00B8514C">
        <w:rPr>
          <w:lang w:val="en-GB"/>
        </w:rPr>
        <w:t xml:space="preserve">Typically, </w:t>
      </w:r>
      <w:r w:rsidR="00601136" w:rsidRPr="00B8514C">
        <w:rPr>
          <w:lang w:val="en-GB"/>
        </w:rPr>
        <w:t xml:space="preserve">medical </w:t>
      </w:r>
      <w:r w:rsidRPr="00B8514C">
        <w:rPr>
          <w:b/>
          <w:lang w:val="en-GB"/>
        </w:rPr>
        <w:t>IGM is performed at a very young age</w:t>
      </w:r>
      <w:r w:rsidRPr="00B8514C">
        <w:rPr>
          <w:lang w:val="en-GB"/>
        </w:rPr>
        <w:t xml:space="preserve">, with doctors advocating unnecessary surgery in the first two years of life. Consent is obtained from legal guardians via </w:t>
      </w:r>
      <w:r w:rsidRPr="00B8514C">
        <w:rPr>
          <w:b/>
          <w:lang w:val="en-GB"/>
        </w:rPr>
        <w:t>substitute decision-making</w:t>
      </w:r>
      <w:r w:rsidRPr="00B8514C">
        <w:rPr>
          <w:lang w:val="en-GB"/>
        </w:rPr>
        <w:t xml:space="preserve">, usually from parents finding themselves in a </w:t>
      </w:r>
      <w:r w:rsidRPr="00B8514C">
        <w:rPr>
          <w:b/>
          <w:lang w:val="en-GB"/>
        </w:rPr>
        <w:t>very vulnerable situation</w:t>
      </w:r>
      <w:r w:rsidRPr="00B8514C">
        <w:rPr>
          <w:lang w:val="en-GB"/>
        </w:rPr>
        <w:t xml:space="preserve">, many of them in a </w:t>
      </w:r>
      <w:r w:rsidRPr="00B8514C">
        <w:rPr>
          <w:b/>
          <w:lang w:val="en-GB"/>
        </w:rPr>
        <w:t>state of shock</w:t>
      </w:r>
      <w:r w:rsidRPr="00B8514C">
        <w:rPr>
          <w:lang w:val="en-GB"/>
        </w:rPr>
        <w:t xml:space="preserve"> after the unexpected birth of an atypical child, completely uninformed due to the persisting </w:t>
      </w:r>
      <w:r w:rsidRPr="00B8514C">
        <w:rPr>
          <w:b/>
          <w:lang w:val="en-GB"/>
        </w:rPr>
        <w:t>societal taboo</w:t>
      </w:r>
      <w:r w:rsidRPr="00B8514C">
        <w:rPr>
          <w:lang w:val="en-GB"/>
        </w:rPr>
        <w:t xml:space="preserve"> of intersex as a natural variation, often overwhelmed by feelings of </w:t>
      </w:r>
      <w:r w:rsidRPr="00B8514C">
        <w:rPr>
          <w:b/>
          <w:lang w:val="en-GB"/>
        </w:rPr>
        <w:t>guilt</w:t>
      </w:r>
      <w:r w:rsidRPr="00B8514C">
        <w:rPr>
          <w:lang w:val="en-GB"/>
        </w:rPr>
        <w:t xml:space="preserve"> and </w:t>
      </w:r>
      <w:r w:rsidRPr="00B8514C">
        <w:rPr>
          <w:b/>
          <w:lang w:val="en-GB"/>
        </w:rPr>
        <w:t>shame</w:t>
      </w:r>
      <w:r w:rsidRPr="00B8514C">
        <w:rPr>
          <w:lang w:val="en-GB"/>
        </w:rPr>
        <w:t xml:space="preserve">, under </w:t>
      </w:r>
      <w:r w:rsidRPr="00B8514C">
        <w:rPr>
          <w:b/>
          <w:lang w:val="en-GB"/>
        </w:rPr>
        <w:t>undue pressure from doctors</w:t>
      </w:r>
      <w:r w:rsidRPr="00B8514C">
        <w:rPr>
          <w:lang w:val="en-GB"/>
        </w:rPr>
        <w:t xml:space="preserve"> to “sign quickly” because “it’s the best for your child” and the “only chance to lead a normal life”.</w:t>
      </w:r>
      <w:r w:rsidR="00243F22" w:rsidRPr="00B8514C">
        <w:rPr>
          <w:rStyle w:val="Funotenzeichen"/>
          <w:sz w:val="23"/>
          <w:szCs w:val="23"/>
          <w:lang w:val="en-GB"/>
        </w:rPr>
        <w:footnoteReference w:id="8"/>
      </w:r>
    </w:p>
    <w:p w:rsidR="00E62E11" w:rsidRPr="00B8514C" w:rsidRDefault="00601136" w:rsidP="00AB0F46">
      <w:pPr>
        <w:pStyle w:val="absatzschattenbericht"/>
        <w:rPr>
          <w:lang w:val="en-GB"/>
        </w:rPr>
      </w:pPr>
      <w:r w:rsidRPr="00B8514C">
        <w:rPr>
          <w:lang w:val="en-GB"/>
        </w:rPr>
        <w:t>Medical IGM practices are</w:t>
      </w:r>
      <w:r w:rsidR="00E62E11" w:rsidRPr="00B8514C">
        <w:rPr>
          <w:lang w:val="en-GB"/>
        </w:rPr>
        <w:t xml:space="preserve"> known to cause </w:t>
      </w:r>
      <w:r w:rsidR="00E62E11" w:rsidRPr="00B8514C">
        <w:rPr>
          <w:b/>
          <w:lang w:val="en-GB"/>
        </w:rPr>
        <w:t>lifelong severe physical and mental pain and suffering</w:t>
      </w:r>
      <w:r w:rsidR="00E62E11" w:rsidRPr="00B8514C">
        <w:rPr>
          <w:lang w:val="en-GB"/>
        </w:rPr>
        <w:t xml:space="preserve">, sometimes </w:t>
      </w:r>
      <w:r w:rsidR="00E62E11" w:rsidRPr="00B8514C">
        <w:rPr>
          <w:b/>
          <w:lang w:val="en-GB"/>
        </w:rPr>
        <w:t>leading to disability</w:t>
      </w:r>
      <w:r w:rsidR="00E62E11" w:rsidRPr="00B8514C">
        <w:rPr>
          <w:lang w:val="en-GB"/>
        </w:rPr>
        <w:t>, including loss or impairment of sexual sensation, poorer sexual function, painful scarring, painful intercourse, incontinence, problems with passing urine (e.g. due to urethral stenosis after surgery), increased sexual anxieties, problems with desire, less sexual activity, dissatisfaction with functional and aesthetic results, lifelong trauma and mental suffering, elevated rates of self-harming behaviour and suicidal tendencies comparable to those among women who have experienced physical or (child) sexual abuse, impairment or loss of reproductive capabilities, lifelong dependency on daily doses of artificial hormones.</w:t>
      </w:r>
      <w:r w:rsidR="00E62E11" w:rsidRPr="00B8514C">
        <w:rPr>
          <w:rStyle w:val="Funotenzeichen"/>
          <w:sz w:val="23"/>
          <w:szCs w:val="23"/>
          <w:lang w:val="en-GB"/>
        </w:rPr>
        <w:footnoteReference w:id="9"/>
      </w:r>
      <w:r w:rsidR="007C029E" w:rsidRPr="00B8514C">
        <w:rPr>
          <w:lang w:val="en-GB"/>
        </w:rPr>
        <w:t xml:space="preserve"> This pain and suffering </w:t>
      </w:r>
      <w:r w:rsidR="009777FF" w:rsidRPr="00B8514C">
        <w:rPr>
          <w:lang w:val="en-GB"/>
        </w:rPr>
        <w:t>have</w:t>
      </w:r>
      <w:r w:rsidR="007C029E" w:rsidRPr="00B8514C">
        <w:rPr>
          <w:lang w:val="en-GB"/>
        </w:rPr>
        <w:t xml:space="preserve"> also been recognised in so far </w:t>
      </w:r>
      <w:r w:rsidR="007C029E" w:rsidRPr="00B8514C">
        <w:rPr>
          <w:b/>
          <w:bCs/>
          <w:lang w:val="en-GB"/>
        </w:rPr>
        <w:t>21 Treaty body Concluding Observations</w:t>
      </w:r>
      <w:r w:rsidR="007C029E" w:rsidRPr="00B8514C">
        <w:rPr>
          <w:lang w:val="en-GB"/>
        </w:rPr>
        <w:t>.</w:t>
      </w:r>
      <w:r w:rsidR="007C029E" w:rsidRPr="00B8514C">
        <w:rPr>
          <w:rStyle w:val="Funotenzeichen"/>
          <w:sz w:val="23"/>
          <w:szCs w:val="23"/>
          <w:lang w:val="en-GB"/>
        </w:rPr>
        <w:footnoteReference w:id="10"/>
      </w:r>
    </w:p>
    <w:p w:rsidR="0006295C" w:rsidRPr="00B8514C" w:rsidRDefault="0006295C" w:rsidP="00AB0F46">
      <w:pPr>
        <w:pStyle w:val="absatzschattenbericht"/>
        <w:rPr>
          <w:lang w:val="en-GB"/>
        </w:rPr>
      </w:pPr>
      <w:r w:rsidRPr="00B8514C">
        <w:rPr>
          <w:lang w:val="en-GB"/>
        </w:rPr>
        <w:t xml:space="preserve">For at least 30 years now, </w:t>
      </w:r>
      <w:r w:rsidRPr="00B8514C">
        <w:rPr>
          <w:b/>
          <w:bCs/>
          <w:lang w:val="en-GB"/>
        </w:rPr>
        <w:t>intersex people and their organisations</w:t>
      </w:r>
      <w:r w:rsidRPr="00B8514C">
        <w:rPr>
          <w:lang w:val="en-GB"/>
        </w:rPr>
        <w:t xml:space="preserve"> have explicitly condemned IGM as a form of </w:t>
      </w:r>
      <w:r w:rsidRPr="00B8514C">
        <w:rPr>
          <w:b/>
          <w:bCs/>
          <w:i/>
          <w:iCs/>
          <w:lang w:val="en-GB"/>
        </w:rPr>
        <w:t>“genital mutilation”</w:t>
      </w:r>
      <w:r w:rsidR="009777FF" w:rsidRPr="00B8514C">
        <w:rPr>
          <w:rStyle w:val="Funotenzeichen"/>
          <w:sz w:val="23"/>
          <w:szCs w:val="23"/>
          <w:lang w:val="en-GB"/>
        </w:rPr>
        <w:t xml:space="preserve"> </w:t>
      </w:r>
      <w:r w:rsidR="009777FF" w:rsidRPr="00B8514C">
        <w:rPr>
          <w:rStyle w:val="Funotenzeichen"/>
          <w:sz w:val="23"/>
          <w:szCs w:val="23"/>
          <w:lang w:val="en-GB"/>
        </w:rPr>
        <w:footnoteReference w:id="11"/>
      </w:r>
      <w:r w:rsidR="00B0068D" w:rsidRPr="00B8514C">
        <w:rPr>
          <w:lang w:val="en-GB"/>
        </w:rPr>
        <w:t xml:space="preserve"> and called for a </w:t>
      </w:r>
      <w:r w:rsidR="00B0068D" w:rsidRPr="00B8514C">
        <w:rPr>
          <w:b/>
          <w:bCs/>
          <w:lang w:val="en-GB"/>
        </w:rPr>
        <w:t>legal prohibition</w:t>
      </w:r>
      <w:r w:rsidR="00B0068D" w:rsidRPr="00B8514C">
        <w:rPr>
          <w:lang w:val="en-GB"/>
        </w:rPr>
        <w:t xml:space="preserve"> to end it.</w:t>
      </w:r>
      <w:r w:rsidR="009777FF" w:rsidRPr="00B8514C">
        <w:rPr>
          <w:rStyle w:val="Funotenzeichen"/>
          <w:sz w:val="23"/>
          <w:szCs w:val="23"/>
          <w:lang w:val="en-GB"/>
        </w:rPr>
        <w:footnoteReference w:id="12"/>
      </w:r>
    </w:p>
    <w:p w:rsidR="001753C0" w:rsidRPr="00B8514C" w:rsidRDefault="00AD1B1E" w:rsidP="00AB0F46">
      <w:pPr>
        <w:pStyle w:val="absatzschattenbericht"/>
        <w:rPr>
          <w:bCs/>
          <w:i/>
          <w:lang w:val="en-GB"/>
        </w:rPr>
      </w:pPr>
      <w:r w:rsidRPr="00B8514C">
        <w:rPr>
          <w:rFonts w:cs="Times New Roman"/>
          <w:bCs/>
          <w:lang w:val="en-GB"/>
        </w:rPr>
        <w:lastRenderedPageBreak/>
        <w:t xml:space="preserve">In the last decades, </w:t>
      </w:r>
      <w:r w:rsidR="001753C0" w:rsidRPr="00B8514C">
        <w:rPr>
          <w:rFonts w:cs="Times New Roman"/>
          <w:b/>
          <w:lang w:val="en-GB"/>
        </w:rPr>
        <w:t xml:space="preserve">Treaty bodies and other human rights experts </w:t>
      </w:r>
      <w:r w:rsidR="001753C0" w:rsidRPr="00B8514C">
        <w:rPr>
          <w:rFonts w:cs="Times New Roman"/>
          <w:bCs/>
          <w:lang w:val="en-GB"/>
        </w:rPr>
        <w:t xml:space="preserve">have </w:t>
      </w:r>
      <w:r w:rsidR="00CE159C">
        <w:rPr>
          <w:rFonts w:cs="Times New Roman"/>
          <w:bCs/>
          <w:lang w:val="en-GB"/>
        </w:rPr>
        <w:t>regularly</w:t>
      </w:r>
      <w:r w:rsidR="001753C0" w:rsidRPr="00B8514C">
        <w:rPr>
          <w:rFonts w:cs="Times New Roman"/>
          <w:bCs/>
          <w:lang w:val="en-GB"/>
        </w:rPr>
        <w:t xml:space="preserve"> recognised medical IGM practices as a </w:t>
      </w:r>
      <w:r w:rsidR="001753C0" w:rsidRPr="00B8514C">
        <w:rPr>
          <w:rFonts w:cs="Times New Roman"/>
          <w:b/>
          <w:lang w:val="en-GB"/>
        </w:rPr>
        <w:t>serious violation</w:t>
      </w:r>
      <w:r w:rsidR="001753C0" w:rsidRPr="00B8514C">
        <w:rPr>
          <w:rFonts w:cs="Times New Roman"/>
          <w:bCs/>
          <w:lang w:val="en-GB"/>
        </w:rPr>
        <w:t xml:space="preserve"> of non-</w:t>
      </w:r>
      <w:proofErr w:type="spellStart"/>
      <w:r w:rsidR="001753C0" w:rsidRPr="00B8514C">
        <w:rPr>
          <w:rFonts w:cs="Times New Roman"/>
          <w:bCs/>
          <w:lang w:val="en-GB"/>
        </w:rPr>
        <w:t>derogable</w:t>
      </w:r>
      <w:proofErr w:type="spellEnd"/>
      <w:r w:rsidR="001753C0" w:rsidRPr="00B8514C">
        <w:rPr>
          <w:rFonts w:cs="Times New Roman"/>
          <w:bCs/>
          <w:lang w:val="en-GB"/>
        </w:rPr>
        <w:t xml:space="preserve"> human rights.</w:t>
      </w:r>
      <w:r w:rsidR="001753C0" w:rsidRPr="00B8514C">
        <w:rPr>
          <w:rStyle w:val="Funotenzeichen"/>
          <w:rFonts w:cs="Times New Roman"/>
          <w:bCs/>
          <w:lang w:val="en-GB"/>
        </w:rPr>
        <w:footnoteReference w:id="13"/>
      </w:r>
      <w:r w:rsidR="001753C0" w:rsidRPr="00B8514C">
        <w:rPr>
          <w:rFonts w:cs="Times New Roman"/>
          <w:bCs/>
          <w:lang w:val="en-GB"/>
        </w:rPr>
        <w:t xml:space="preserve"> </w:t>
      </w:r>
      <w:r w:rsidR="0006295C" w:rsidRPr="00B8514C">
        <w:rPr>
          <w:rFonts w:cs="Times New Roman"/>
          <w:bCs/>
          <w:lang w:val="en-GB"/>
        </w:rPr>
        <w:t xml:space="preserve">Since 2011, </w:t>
      </w:r>
      <w:r w:rsidR="001753C0" w:rsidRPr="00B8514C">
        <w:rPr>
          <w:rFonts w:cs="Times New Roman"/>
          <w:bCs/>
          <w:lang w:val="en-GB"/>
        </w:rPr>
        <w:t xml:space="preserve">Treaty bodies have so far issued </w:t>
      </w:r>
      <w:r w:rsidR="001753C0" w:rsidRPr="00B8514C">
        <w:rPr>
          <w:rFonts w:cs="Times New Roman"/>
          <w:b/>
          <w:lang w:val="en-GB"/>
        </w:rPr>
        <w:t>98 Concluding Observations</w:t>
      </w:r>
      <w:r w:rsidR="001753C0" w:rsidRPr="00B8514C">
        <w:rPr>
          <w:rFonts w:cs="Times New Roman"/>
          <w:bCs/>
          <w:lang w:val="en-GB"/>
        </w:rPr>
        <w:t xml:space="preserve"> condemning IGM practices accordingly (see Annexe</w:t>
      </w:r>
      <w:r w:rsidR="00FD7EAF" w:rsidRPr="00B8514C">
        <w:rPr>
          <w:rFonts w:cs="Times New Roman"/>
          <w:bCs/>
          <w:lang w:val="en-GB"/>
        </w:rPr>
        <w:t>), and</w:t>
      </w:r>
      <w:r w:rsidR="00FD7EAF" w:rsidRPr="00B8514C">
        <w:rPr>
          <w:lang w:val="en-GB"/>
        </w:rPr>
        <w:t xml:space="preserve"> explicitly used the term </w:t>
      </w:r>
      <w:r w:rsidR="00FD7EAF" w:rsidRPr="00CE159C">
        <w:rPr>
          <w:b/>
          <w:bCs/>
          <w:i/>
          <w:iCs/>
          <w:lang w:val="en-GB"/>
        </w:rPr>
        <w:t>“intersex genital mutilation”</w:t>
      </w:r>
      <w:r w:rsidR="00FD7EAF" w:rsidRPr="00B8514C">
        <w:rPr>
          <w:lang w:val="en-GB"/>
        </w:rPr>
        <w:t xml:space="preserve"> in </w:t>
      </w:r>
      <w:r w:rsidR="00FD7EAF" w:rsidRPr="00B8514C">
        <w:rPr>
          <w:b/>
          <w:bCs/>
          <w:lang w:val="en-GB"/>
        </w:rPr>
        <w:t>6</w:t>
      </w:r>
      <w:r w:rsidR="00FD7EAF" w:rsidRPr="00B8514C">
        <w:rPr>
          <w:lang w:val="en-GB"/>
        </w:rPr>
        <w:t> </w:t>
      </w:r>
      <w:r w:rsidR="00FD7EAF" w:rsidRPr="00B8514C">
        <w:rPr>
          <w:b/>
          <w:bCs/>
          <w:lang w:val="en-GB"/>
        </w:rPr>
        <w:t>Concluding Observations</w:t>
      </w:r>
      <w:r w:rsidR="00FD7EAF" w:rsidRPr="00B8514C">
        <w:rPr>
          <w:lang w:val="en-GB"/>
        </w:rPr>
        <w:t>.</w:t>
      </w:r>
      <w:r w:rsidR="00FD7EAF" w:rsidRPr="00B8514C">
        <w:rPr>
          <w:rStyle w:val="Funotenzeichen"/>
          <w:sz w:val="23"/>
          <w:szCs w:val="23"/>
          <w:lang w:val="en-GB"/>
        </w:rPr>
        <w:footnoteReference w:id="14"/>
      </w:r>
    </w:p>
    <w:p w:rsidR="002D74DC" w:rsidRPr="00B8514C" w:rsidRDefault="00307F8A" w:rsidP="00AB0F46">
      <w:pPr>
        <w:pStyle w:val="absatzschattenbericht"/>
        <w:rPr>
          <w:rFonts w:cs="Times New Roman"/>
          <w:lang w:val="en-GB"/>
        </w:rPr>
      </w:pPr>
      <w:r w:rsidRPr="00B8514C">
        <w:rPr>
          <w:lang w:val="en-GB"/>
        </w:rPr>
        <w:t xml:space="preserve">Regarding </w:t>
      </w:r>
      <w:r w:rsidRPr="00B8514C">
        <w:rPr>
          <w:b/>
          <w:lang w:val="en-GB"/>
        </w:rPr>
        <w:t>non-medical IGM practices</w:t>
      </w:r>
      <w:r w:rsidRPr="00B8514C">
        <w:rPr>
          <w:lang w:val="en-GB"/>
        </w:rPr>
        <w:t xml:space="preserve">, </w:t>
      </w:r>
      <w:r w:rsidR="00315250" w:rsidRPr="00B8514C">
        <w:rPr>
          <w:lang w:val="en-GB"/>
        </w:rPr>
        <w:t xml:space="preserve">in the last decades </w:t>
      </w:r>
      <w:r w:rsidR="00DB55CE" w:rsidRPr="00B8514C">
        <w:rPr>
          <w:lang w:val="en-GB"/>
        </w:rPr>
        <w:t xml:space="preserve">there </w:t>
      </w:r>
      <w:r w:rsidR="00A8725D" w:rsidRPr="00B8514C">
        <w:rPr>
          <w:lang w:val="en-GB"/>
        </w:rPr>
        <w:t>have been</w:t>
      </w:r>
      <w:r w:rsidR="00DB55CE" w:rsidRPr="00B8514C">
        <w:rPr>
          <w:lang w:val="en-GB"/>
        </w:rPr>
        <w:t xml:space="preserve"> many reports of </w:t>
      </w:r>
      <w:r w:rsidR="00DB55CE" w:rsidRPr="00B8514C">
        <w:rPr>
          <w:b/>
          <w:lang w:val="en-GB"/>
        </w:rPr>
        <w:t>infanticide</w:t>
      </w:r>
      <w:r w:rsidR="00DB55CE" w:rsidRPr="00B8514C">
        <w:rPr>
          <w:lang w:val="en-GB"/>
        </w:rPr>
        <w:t xml:space="preserve"> of intersex children from Africa and Asia, </w:t>
      </w:r>
      <w:r w:rsidR="00580F8B" w:rsidRPr="00B8514C">
        <w:rPr>
          <w:lang w:val="en-GB"/>
        </w:rPr>
        <w:t xml:space="preserve">but data </w:t>
      </w:r>
      <w:r w:rsidR="00D80ACB" w:rsidRPr="00B8514C">
        <w:rPr>
          <w:lang w:val="en-GB"/>
        </w:rPr>
        <w:t>remains</w:t>
      </w:r>
      <w:r w:rsidR="00580F8B" w:rsidRPr="00B8514C">
        <w:rPr>
          <w:lang w:val="en-GB"/>
        </w:rPr>
        <w:t xml:space="preserve"> lacking. </w:t>
      </w:r>
      <w:r w:rsidR="00580F8B" w:rsidRPr="00B8514C">
        <w:rPr>
          <w:b/>
          <w:lang w:val="en-GB"/>
        </w:rPr>
        <w:t>Infanticide</w:t>
      </w:r>
      <w:r w:rsidR="00580F8B" w:rsidRPr="00B8514C">
        <w:rPr>
          <w:lang w:val="en-GB"/>
        </w:rPr>
        <w:t xml:space="preserve"> and </w:t>
      </w:r>
      <w:r w:rsidR="00580F8B" w:rsidRPr="00B8514C">
        <w:rPr>
          <w:b/>
          <w:lang w:val="en-GB"/>
        </w:rPr>
        <w:t>abandonment</w:t>
      </w:r>
      <w:r w:rsidR="00580F8B" w:rsidRPr="00B8514C">
        <w:rPr>
          <w:lang w:val="en-GB"/>
        </w:rPr>
        <w:t xml:space="preserve"> of intersex children based on superstition as well as </w:t>
      </w:r>
      <w:r w:rsidR="00580F8B" w:rsidRPr="00B8514C">
        <w:rPr>
          <w:b/>
          <w:lang w:val="en-GB"/>
        </w:rPr>
        <w:t>expulsion</w:t>
      </w:r>
      <w:r w:rsidR="00580F8B" w:rsidRPr="00B8514C">
        <w:rPr>
          <w:lang w:val="en-GB"/>
        </w:rPr>
        <w:t xml:space="preserve"> of mothers of intersex children refusing to do so have been identified by African intersex advocates as the </w:t>
      </w:r>
      <w:r w:rsidR="00580F8B" w:rsidRPr="00B8514C">
        <w:rPr>
          <w:b/>
          <w:lang w:val="en-GB"/>
        </w:rPr>
        <w:t>main issues in rural communities</w:t>
      </w:r>
      <w:r w:rsidR="005451CA" w:rsidRPr="00B8514C">
        <w:rPr>
          <w:lang w:val="en-GB"/>
        </w:rPr>
        <w:t xml:space="preserve">, </w:t>
      </w:r>
      <w:r w:rsidR="005451CA" w:rsidRPr="00B8514C">
        <w:rPr>
          <w:i/>
          <w:iCs/>
          <w:lang w:val="en-GB"/>
        </w:rPr>
        <w:t xml:space="preserve">“Women who give birth to intersex children are often considered to be witches or victims of witchcraft, and the intersex children are considered a bad omen to the family, which should be gotten rid of.” </w:t>
      </w:r>
      <w:r w:rsidR="005451CA" w:rsidRPr="00B8514C">
        <w:rPr>
          <w:lang w:val="en-GB"/>
        </w:rPr>
        <w:t xml:space="preserve">The </w:t>
      </w:r>
      <w:r w:rsidR="005451CA" w:rsidRPr="00B8514C">
        <w:rPr>
          <w:b/>
          <w:lang w:val="en-GB"/>
        </w:rPr>
        <w:t>2017 Public statement by the African intersex movement</w:t>
      </w:r>
      <w:r w:rsidR="005451CA" w:rsidRPr="00B8514C">
        <w:rPr>
          <w:lang w:val="en-GB"/>
        </w:rPr>
        <w:t xml:space="preserve"> explicitly states on top of its list of </w:t>
      </w:r>
      <w:r w:rsidR="005451CA" w:rsidRPr="00B8514C">
        <w:rPr>
          <w:b/>
          <w:i/>
          <w:iCs/>
          <w:lang w:val="en-GB"/>
        </w:rPr>
        <w:t>“Demands”</w:t>
      </w:r>
      <w:r w:rsidR="005451CA" w:rsidRPr="00B8514C">
        <w:rPr>
          <w:lang w:val="en-GB"/>
        </w:rPr>
        <w:t xml:space="preserve">, </w:t>
      </w:r>
      <w:r w:rsidR="005451CA" w:rsidRPr="00B8514C">
        <w:rPr>
          <w:i/>
          <w:iCs/>
          <w:lang w:val="en-GB"/>
        </w:rPr>
        <w:t>“To put an end to infanticide and killings of intersex people led by traditional and religious beliefs.”</w:t>
      </w:r>
      <w:r w:rsidR="00D80ACB" w:rsidRPr="00B8514C">
        <w:rPr>
          <w:rStyle w:val="Funotenzeichen"/>
          <w:sz w:val="23"/>
          <w:szCs w:val="23"/>
          <w:lang w:val="en-GB"/>
        </w:rPr>
        <w:footnoteReference w:id="15"/>
      </w:r>
      <w:r w:rsidR="005D2C76" w:rsidRPr="00B8514C">
        <w:rPr>
          <w:lang w:val="en-GB"/>
        </w:rPr>
        <w:t xml:space="preserve"> </w:t>
      </w:r>
      <w:r w:rsidR="005D2C76" w:rsidRPr="00B8514C">
        <w:rPr>
          <w:rStyle w:val="Funotenzeichen"/>
          <w:sz w:val="23"/>
          <w:szCs w:val="23"/>
          <w:lang w:val="en-GB"/>
        </w:rPr>
        <w:footnoteReference w:id="16"/>
      </w:r>
      <w:r w:rsidR="005D2C76" w:rsidRPr="00B8514C">
        <w:rPr>
          <w:lang w:val="en-GB"/>
        </w:rPr>
        <w:t xml:space="preserve"> </w:t>
      </w:r>
      <w:r w:rsidR="005D2C76" w:rsidRPr="00B8514C">
        <w:rPr>
          <w:rStyle w:val="Funotenzeichen"/>
          <w:sz w:val="23"/>
          <w:szCs w:val="23"/>
          <w:lang w:val="en-GB"/>
        </w:rPr>
        <w:footnoteReference w:id="17"/>
      </w:r>
      <w:r w:rsidR="001753C0" w:rsidRPr="00B8514C">
        <w:rPr>
          <w:lang w:val="en-GB"/>
        </w:rPr>
        <w:t xml:space="preserve"> Other </w:t>
      </w:r>
      <w:r w:rsidR="002D74DC" w:rsidRPr="00B8514C">
        <w:rPr>
          <w:lang w:val="en-GB"/>
        </w:rPr>
        <w:t>reports of non-medical IGM practices</w:t>
      </w:r>
      <w:r w:rsidR="001753C0" w:rsidRPr="00B8514C">
        <w:rPr>
          <w:lang w:val="en-GB"/>
        </w:rPr>
        <w:t xml:space="preserve"> include cases </w:t>
      </w:r>
      <w:r w:rsidR="002D74DC" w:rsidRPr="00B8514C">
        <w:rPr>
          <w:lang w:val="en-GB"/>
        </w:rPr>
        <w:t xml:space="preserve">of </w:t>
      </w:r>
      <w:r w:rsidR="002D74DC" w:rsidRPr="00B8514C">
        <w:rPr>
          <w:b/>
          <w:lang w:val="en-GB"/>
        </w:rPr>
        <w:t>expulsion</w:t>
      </w:r>
      <w:r w:rsidR="002D74DC" w:rsidRPr="00B8514C">
        <w:rPr>
          <w:lang w:val="en-GB"/>
        </w:rPr>
        <w:t xml:space="preserve">, </w:t>
      </w:r>
      <w:r w:rsidR="002D74DC" w:rsidRPr="00B8514C">
        <w:rPr>
          <w:b/>
          <w:lang w:val="en-GB"/>
        </w:rPr>
        <w:t>massive bullying</w:t>
      </w:r>
      <w:r w:rsidR="002D74DC" w:rsidRPr="00B8514C">
        <w:rPr>
          <w:lang w:val="en-GB"/>
        </w:rPr>
        <w:t xml:space="preserve"> and </w:t>
      </w:r>
      <w:r w:rsidR="002D74DC" w:rsidRPr="00B8514C">
        <w:rPr>
          <w:b/>
          <w:lang w:val="en-GB"/>
        </w:rPr>
        <w:t>murder</w:t>
      </w:r>
      <w:r w:rsidR="002D74DC" w:rsidRPr="00B8514C">
        <w:rPr>
          <w:lang w:val="en-GB"/>
        </w:rPr>
        <w:t>.</w:t>
      </w:r>
      <w:r w:rsidR="002D74DC" w:rsidRPr="00B8514C">
        <w:rPr>
          <w:rStyle w:val="Funotenzeichen"/>
          <w:sz w:val="23"/>
          <w:szCs w:val="23"/>
          <w:lang w:val="en-GB"/>
        </w:rPr>
        <w:footnoteReference w:id="18"/>
      </w:r>
    </w:p>
    <w:p w:rsidR="002D74DC" w:rsidRPr="00B8514C" w:rsidRDefault="00181031" w:rsidP="00AB0F46">
      <w:pPr>
        <w:pStyle w:val="absatzschattenbericht"/>
        <w:rPr>
          <w:bCs/>
          <w:lang w:val="en-GB"/>
        </w:rPr>
      </w:pPr>
      <w:r w:rsidRPr="00B8514C">
        <w:rPr>
          <w:bCs/>
          <w:lang w:val="en-GB"/>
        </w:rPr>
        <w:t xml:space="preserve">So far, </w:t>
      </w:r>
      <w:r w:rsidRPr="00B8514C">
        <w:rPr>
          <w:b/>
          <w:lang w:val="en-GB"/>
        </w:rPr>
        <w:t>Treaty bodies</w:t>
      </w:r>
      <w:r w:rsidRPr="00B8514C">
        <w:rPr>
          <w:bCs/>
          <w:lang w:val="en-GB"/>
        </w:rPr>
        <w:t xml:space="preserve"> </w:t>
      </w:r>
      <w:r w:rsidR="000355D6" w:rsidRPr="00B8514C">
        <w:rPr>
          <w:bCs/>
          <w:lang w:val="en-GB"/>
        </w:rPr>
        <w:t xml:space="preserve">have acknowledged non-medical IGM practices in </w:t>
      </w:r>
      <w:r w:rsidR="000355D6" w:rsidRPr="00B8514C">
        <w:rPr>
          <w:b/>
          <w:lang w:val="en-GB"/>
        </w:rPr>
        <w:t>4 Concluding Observations</w:t>
      </w:r>
      <w:r w:rsidR="000355D6" w:rsidRPr="00B8514C">
        <w:rPr>
          <w:bCs/>
          <w:lang w:val="en-GB"/>
        </w:rPr>
        <w:t xml:space="preserve">, with 2 each recognising </w:t>
      </w:r>
      <w:r w:rsidR="000355D6" w:rsidRPr="00B8514C">
        <w:rPr>
          <w:b/>
          <w:lang w:val="en-GB"/>
        </w:rPr>
        <w:t>infanticide</w:t>
      </w:r>
      <w:r w:rsidR="000355D6" w:rsidRPr="00B8514C">
        <w:rPr>
          <w:rStyle w:val="Funotenzeichen"/>
          <w:sz w:val="23"/>
          <w:szCs w:val="23"/>
          <w:lang w:val="en-GB"/>
        </w:rPr>
        <w:footnoteReference w:id="19"/>
      </w:r>
      <w:r w:rsidR="000355D6" w:rsidRPr="00B8514C">
        <w:rPr>
          <w:bCs/>
          <w:lang w:val="en-GB"/>
        </w:rPr>
        <w:t xml:space="preserve"> and </w:t>
      </w:r>
      <w:r w:rsidR="000355D6" w:rsidRPr="00B8514C">
        <w:rPr>
          <w:b/>
          <w:lang w:val="en-GB"/>
        </w:rPr>
        <w:t>stigma and bullying</w:t>
      </w:r>
      <w:r w:rsidR="000355D6" w:rsidRPr="00B8514C">
        <w:rPr>
          <w:bCs/>
          <w:lang w:val="en-GB"/>
        </w:rPr>
        <w:t>.</w:t>
      </w:r>
      <w:r w:rsidR="000355D6" w:rsidRPr="00B8514C">
        <w:rPr>
          <w:rStyle w:val="Funotenzeichen"/>
          <w:sz w:val="23"/>
          <w:szCs w:val="23"/>
          <w:lang w:val="en-GB"/>
        </w:rPr>
        <w:footnoteReference w:id="20"/>
      </w:r>
    </w:p>
    <w:p w:rsidR="0058006E" w:rsidRPr="00B8514C" w:rsidRDefault="00010522" w:rsidP="00B8514C">
      <w:pPr>
        <w:pStyle w:val="Title2"/>
        <w:rPr>
          <w:rFonts w:eastAsia="Baskerville"/>
          <w:szCs w:val="24"/>
        </w:rPr>
      </w:pPr>
      <w:bookmarkStart w:id="4" w:name="_Toc185616872"/>
      <w:r>
        <w:t>3</w:t>
      </w:r>
      <w:r w:rsidR="0058006E" w:rsidRPr="00B8514C">
        <w:t>.  Root causes: Stigma, taboo and prejudice</w:t>
      </w:r>
      <w:bookmarkEnd w:id="4"/>
    </w:p>
    <w:p w:rsidR="00393514" w:rsidRPr="00B8514C" w:rsidRDefault="000329E8" w:rsidP="00AB0F46">
      <w:pPr>
        <w:pStyle w:val="absatzschattenbericht"/>
        <w:rPr>
          <w:lang w:val="en-GB"/>
        </w:rPr>
      </w:pPr>
      <w:r w:rsidRPr="00B8514C">
        <w:rPr>
          <w:b/>
          <w:bCs/>
          <w:lang w:val="en-GB"/>
        </w:rPr>
        <w:t>The medical and the non-medical stigma</w:t>
      </w:r>
      <w:r w:rsidRPr="00B8514C">
        <w:rPr>
          <w:lang w:val="en-GB"/>
        </w:rPr>
        <w:t xml:space="preserve"> </w:t>
      </w:r>
      <w:r w:rsidR="00F1589F" w:rsidRPr="00B8514C">
        <w:rPr>
          <w:lang w:val="en-GB"/>
        </w:rPr>
        <w:t>fue</w:t>
      </w:r>
      <w:r w:rsidR="00CE159C">
        <w:rPr>
          <w:lang w:val="en-GB"/>
        </w:rPr>
        <w:t>l</w:t>
      </w:r>
      <w:r w:rsidR="00F1589F" w:rsidRPr="00B8514C">
        <w:rPr>
          <w:lang w:val="en-GB"/>
        </w:rPr>
        <w:t xml:space="preserve">ling past and present violence and harmful practices against intersex people are based on </w:t>
      </w:r>
      <w:r w:rsidR="00F1589F" w:rsidRPr="00B8514C">
        <w:rPr>
          <w:b/>
          <w:bCs/>
          <w:lang w:val="en-GB"/>
        </w:rPr>
        <w:t>similar assumptions</w:t>
      </w:r>
      <w:r w:rsidR="00CE159C">
        <w:rPr>
          <w:b/>
          <w:bCs/>
          <w:lang w:val="en-GB"/>
        </w:rPr>
        <w:t xml:space="preserve"> and prejudice</w:t>
      </w:r>
      <w:r w:rsidR="00F1589F" w:rsidRPr="00B8514C">
        <w:rPr>
          <w:lang w:val="en-GB"/>
        </w:rPr>
        <w:t xml:space="preserve">. Since the enlightenment, </w:t>
      </w:r>
      <w:r w:rsidR="00393514" w:rsidRPr="00B8514C">
        <w:rPr>
          <w:lang w:val="en-GB"/>
        </w:rPr>
        <w:t xml:space="preserve">Doctors and medical bodies, </w:t>
      </w:r>
      <w:r w:rsidR="00F1589F" w:rsidRPr="00B8514C">
        <w:rPr>
          <w:lang w:val="en-GB"/>
        </w:rPr>
        <w:t xml:space="preserve">nowadays in </w:t>
      </w:r>
      <w:r w:rsidR="00393514" w:rsidRPr="00B8514C">
        <w:rPr>
          <w:lang w:val="en-GB"/>
        </w:rPr>
        <w:t xml:space="preserve">in complicity with healthcare providers and governing State bodies, have traditionally been </w:t>
      </w:r>
      <w:r w:rsidR="00393514" w:rsidRPr="00B8514C">
        <w:rPr>
          <w:b/>
          <w:lang w:val="en-GB"/>
        </w:rPr>
        <w:t>framing and “treating” intersex variations as a form of disability in the medical definition</w:t>
      </w:r>
      <w:r w:rsidR="00393514" w:rsidRPr="00B8514C">
        <w:rPr>
          <w:lang w:val="en-GB"/>
        </w:rPr>
        <w:t xml:space="preserve"> in need to be </w:t>
      </w:r>
      <w:r w:rsidR="00393514" w:rsidRPr="00B8514C">
        <w:rPr>
          <w:i/>
          <w:iCs/>
          <w:lang w:val="en-GB"/>
        </w:rPr>
        <w:t>“cured”</w:t>
      </w:r>
      <w:r w:rsidR="00393514" w:rsidRPr="00B8514C">
        <w:rPr>
          <w:lang w:val="en-GB"/>
        </w:rPr>
        <w:t xml:space="preserve"> or </w:t>
      </w:r>
      <w:r w:rsidR="00393514" w:rsidRPr="00B8514C">
        <w:rPr>
          <w:i/>
          <w:iCs/>
          <w:lang w:val="en-GB"/>
        </w:rPr>
        <w:t>“corrected”</w:t>
      </w:r>
      <w:r w:rsidR="00393514" w:rsidRPr="00B8514C">
        <w:rPr>
          <w:lang w:val="en-GB"/>
        </w:rPr>
        <w:t xml:space="preserve"> surgically, often </w:t>
      </w:r>
      <w:r w:rsidR="00393514" w:rsidRPr="00B8514C">
        <w:rPr>
          <w:b/>
          <w:lang w:val="en-GB"/>
        </w:rPr>
        <w:t>with racist, eugenic and suprema</w:t>
      </w:r>
      <w:r w:rsidR="00D33243" w:rsidRPr="00B8514C">
        <w:rPr>
          <w:b/>
          <w:lang w:val="en-GB"/>
        </w:rPr>
        <w:t>c</w:t>
      </w:r>
      <w:r w:rsidR="00393514" w:rsidRPr="00B8514C">
        <w:rPr>
          <w:b/>
          <w:lang w:val="en-GB"/>
        </w:rPr>
        <w:t>ist undertones</w:t>
      </w:r>
      <w:r w:rsidR="00393514" w:rsidRPr="00B8514C">
        <w:rPr>
          <w:lang w:val="en-GB"/>
        </w:rPr>
        <w:t>.</w:t>
      </w:r>
      <w:r w:rsidR="00393514" w:rsidRPr="00B8514C">
        <w:rPr>
          <w:rStyle w:val="Funotenzeichen"/>
          <w:sz w:val="23"/>
          <w:szCs w:val="23"/>
          <w:lang w:val="en-GB"/>
        </w:rPr>
        <w:footnoteReference w:id="21"/>
      </w:r>
      <w:r w:rsidR="002B50B9" w:rsidRPr="00B8514C">
        <w:rPr>
          <w:lang w:val="en-GB"/>
        </w:rPr>
        <w:t xml:space="preserve"> </w:t>
      </w:r>
      <w:r w:rsidR="00F1589F" w:rsidRPr="00B8514C">
        <w:rPr>
          <w:rStyle w:val="Funotenzeichen"/>
          <w:sz w:val="23"/>
          <w:szCs w:val="23"/>
          <w:lang w:val="en-GB"/>
        </w:rPr>
        <w:footnoteReference w:id="22"/>
      </w:r>
      <w:r w:rsidR="00F1589F" w:rsidRPr="00B8514C">
        <w:rPr>
          <w:lang w:val="en-GB"/>
        </w:rPr>
        <w:t xml:space="preserve"> </w:t>
      </w:r>
      <w:r w:rsidR="00EE7237" w:rsidRPr="00B8514C">
        <w:rPr>
          <w:rStyle w:val="Funotenzeichen"/>
          <w:sz w:val="23"/>
          <w:szCs w:val="23"/>
          <w:lang w:val="en-GB"/>
        </w:rPr>
        <w:footnoteReference w:id="23"/>
      </w:r>
      <w:r w:rsidR="004854B0" w:rsidRPr="00B8514C">
        <w:rPr>
          <w:lang w:val="en-GB"/>
        </w:rPr>
        <w:t xml:space="preserve"> </w:t>
      </w:r>
      <w:r w:rsidR="004854B0" w:rsidRPr="00B8514C">
        <w:rPr>
          <w:rStyle w:val="Funotenzeichen"/>
          <w:sz w:val="23"/>
          <w:szCs w:val="23"/>
          <w:lang w:val="en-GB"/>
        </w:rPr>
        <w:footnoteReference w:id="24"/>
      </w:r>
      <w:r w:rsidR="00EE7237" w:rsidRPr="00B8514C">
        <w:rPr>
          <w:lang w:val="en-GB"/>
        </w:rPr>
        <w:t xml:space="preserve"> </w:t>
      </w:r>
      <w:r w:rsidR="006439D0" w:rsidRPr="00B8514C">
        <w:rPr>
          <w:rStyle w:val="Funotenzeichen"/>
          <w:sz w:val="23"/>
          <w:szCs w:val="23"/>
          <w:lang w:val="en-GB"/>
        </w:rPr>
        <w:footnoteReference w:id="25"/>
      </w:r>
      <w:r w:rsidRPr="00B8514C">
        <w:rPr>
          <w:lang w:val="en-GB"/>
        </w:rPr>
        <w:t xml:space="preserve"> </w:t>
      </w:r>
      <w:r w:rsidRPr="00B8514C">
        <w:rPr>
          <w:rStyle w:val="Funotenzeichen"/>
          <w:lang w:val="en-GB"/>
        </w:rPr>
        <w:footnoteReference w:id="26"/>
      </w:r>
    </w:p>
    <w:p w:rsidR="00586102" w:rsidRPr="00B8514C" w:rsidRDefault="00586102" w:rsidP="00AB0F46">
      <w:pPr>
        <w:pStyle w:val="absatzschattenbericht"/>
        <w:rPr>
          <w:lang w:val="en-GB"/>
        </w:rPr>
      </w:pPr>
      <w:r w:rsidRPr="00B8514C">
        <w:rPr>
          <w:lang w:val="en-GB"/>
        </w:rPr>
        <w:lastRenderedPageBreak/>
        <w:t>Historically, paediatric</w:t>
      </w:r>
      <w:r w:rsidRPr="00B8514C">
        <w:rPr>
          <w:b/>
          <w:lang w:val="en-GB"/>
        </w:rPr>
        <w:t xml:space="preserve"> </w:t>
      </w:r>
      <w:r w:rsidRPr="00B8514C">
        <w:rPr>
          <w:lang w:val="en-GB"/>
        </w:rPr>
        <w:t xml:space="preserve">surgeons were instrumental in transforming the traditional harmful stereotype of hermaphrodites as </w:t>
      </w:r>
      <w:r w:rsidRPr="00B8514C">
        <w:rPr>
          <w:b/>
          <w:lang w:val="en-GB"/>
        </w:rPr>
        <w:t xml:space="preserve">inferior </w:t>
      </w:r>
      <w:r w:rsidRPr="00B8514C">
        <w:rPr>
          <w:b/>
          <w:i/>
          <w:iCs/>
          <w:lang w:val="en-GB"/>
        </w:rPr>
        <w:t>“races”</w:t>
      </w:r>
      <w:r w:rsidRPr="00B8514C">
        <w:rPr>
          <w:lang w:val="en-GB"/>
        </w:rPr>
        <w:t xml:space="preserve"> located in warmer climates, specifically Africa and Asia, into the </w:t>
      </w:r>
      <w:r w:rsidRPr="00B8514C">
        <w:rPr>
          <w:b/>
          <w:lang w:val="en-GB"/>
        </w:rPr>
        <w:t>persisting “scientific notion”</w:t>
      </w:r>
      <w:r w:rsidRPr="00B8514C">
        <w:rPr>
          <w:lang w:val="en-GB"/>
        </w:rPr>
        <w:t xml:space="preserve"> of intersex people as a subhuman and less evolved species that </w:t>
      </w:r>
      <w:r w:rsidRPr="00B8514C">
        <w:rPr>
          <w:b/>
          <w:lang w:val="en-GB"/>
        </w:rPr>
        <w:t>only after surgical “correction” may be regarded as fully human</w:t>
      </w:r>
      <w:r w:rsidRPr="00B8514C">
        <w:rPr>
          <w:lang w:val="en-GB"/>
        </w:rPr>
        <w:t xml:space="preserve"> and entitled to human rights.</w:t>
      </w:r>
      <w:r w:rsidR="00B8096F" w:rsidRPr="00B8514C">
        <w:rPr>
          <w:rStyle w:val="Funotenzeichen"/>
          <w:sz w:val="23"/>
          <w:szCs w:val="23"/>
          <w:lang w:val="en-GB"/>
        </w:rPr>
        <w:t xml:space="preserve"> </w:t>
      </w:r>
      <w:r w:rsidR="00B8096F" w:rsidRPr="00B8514C">
        <w:rPr>
          <w:rStyle w:val="Funotenzeichen"/>
          <w:sz w:val="23"/>
          <w:szCs w:val="23"/>
          <w:lang w:val="en-GB"/>
        </w:rPr>
        <w:footnoteReference w:id="27"/>
      </w:r>
      <w:r w:rsidR="00B8096F" w:rsidRPr="00B8514C">
        <w:rPr>
          <w:lang w:val="en-GB"/>
        </w:rPr>
        <w:t xml:space="preserve"> </w:t>
      </w:r>
      <w:r w:rsidRPr="00B8514C">
        <w:rPr>
          <w:rStyle w:val="Funotenzeichen"/>
          <w:sz w:val="23"/>
          <w:szCs w:val="23"/>
          <w:lang w:val="en-GB"/>
        </w:rPr>
        <w:footnoteReference w:id="28"/>
      </w:r>
      <w:r w:rsidRPr="00B8514C">
        <w:rPr>
          <w:lang w:val="en-GB"/>
        </w:rPr>
        <w:t xml:space="preserve"> </w:t>
      </w:r>
      <w:r w:rsidRPr="00B8514C">
        <w:rPr>
          <w:rStyle w:val="Funotenzeichen"/>
          <w:sz w:val="23"/>
          <w:szCs w:val="23"/>
          <w:lang w:val="en-GB"/>
        </w:rPr>
        <w:footnoteReference w:id="29"/>
      </w:r>
      <w:r w:rsidRPr="00B8514C">
        <w:rPr>
          <w:lang w:val="en-GB"/>
        </w:rPr>
        <w:t xml:space="preserve"> Paediatric surgeons and endocrinologists themselves linked western </w:t>
      </w:r>
      <w:r w:rsidRPr="00B8514C">
        <w:rPr>
          <w:b/>
          <w:lang w:val="en-GB"/>
        </w:rPr>
        <w:t>clitoris amputations on intersex patients</w:t>
      </w:r>
      <w:r w:rsidRPr="00B8514C">
        <w:rPr>
          <w:lang w:val="en-GB"/>
        </w:rPr>
        <w:t xml:space="preserve"> to the African practice of </w:t>
      </w:r>
      <w:r w:rsidRPr="00B8514C">
        <w:rPr>
          <w:b/>
          <w:lang w:val="en-GB"/>
        </w:rPr>
        <w:t>female genital mutilation (FGM)</w:t>
      </w:r>
      <w:r w:rsidRPr="00B8514C">
        <w:rPr>
          <w:lang w:val="en-GB"/>
        </w:rPr>
        <w:t>, justifying the former by the alleged “proven harmlessness” of the latter.</w:t>
      </w:r>
      <w:r w:rsidRPr="00B8514C">
        <w:rPr>
          <w:rStyle w:val="Funotenzeichen"/>
          <w:sz w:val="23"/>
          <w:szCs w:val="23"/>
          <w:lang w:val="en-GB"/>
        </w:rPr>
        <w:footnoteReference w:id="30"/>
      </w:r>
    </w:p>
    <w:p w:rsidR="00B31808" w:rsidRPr="00B8514C" w:rsidRDefault="00B31808" w:rsidP="00AB0F46">
      <w:pPr>
        <w:pStyle w:val="absatzschattenbericht"/>
        <w:rPr>
          <w:lang w:val="en-GB"/>
        </w:rPr>
      </w:pPr>
      <w:r w:rsidRPr="00B8514C">
        <w:rPr>
          <w:lang w:val="en-GB" w:eastAsia="hi-IN"/>
        </w:rPr>
        <w:t xml:space="preserve">To this day, such harmful stereotypes and prejudices framing intersex as </w:t>
      </w:r>
      <w:r w:rsidRPr="00B8514C">
        <w:rPr>
          <w:b/>
          <w:bCs/>
          <w:i/>
          <w:iCs/>
          <w:lang w:val="en-GB" w:eastAsia="hi-IN"/>
        </w:rPr>
        <w:t>“inferior”</w:t>
      </w:r>
      <w:r w:rsidRPr="00B8514C">
        <w:rPr>
          <w:b/>
          <w:bCs/>
          <w:lang w:val="en-GB" w:eastAsia="hi-IN"/>
        </w:rPr>
        <w:t xml:space="preserve">, </w:t>
      </w:r>
      <w:r w:rsidRPr="00B8514C">
        <w:rPr>
          <w:b/>
          <w:bCs/>
          <w:i/>
          <w:iCs/>
          <w:lang w:val="en-GB" w:eastAsia="hi-IN"/>
        </w:rPr>
        <w:t>“deformed”</w:t>
      </w:r>
      <w:r w:rsidRPr="00B8514C">
        <w:rPr>
          <w:b/>
          <w:bCs/>
          <w:lang w:val="en-GB" w:eastAsia="hi-IN"/>
        </w:rPr>
        <w:t xml:space="preserve">, </w:t>
      </w:r>
      <w:r w:rsidRPr="00B8514C">
        <w:rPr>
          <w:b/>
          <w:bCs/>
          <w:i/>
          <w:iCs/>
          <w:lang w:val="en-GB" w:eastAsia="hi-IN"/>
        </w:rPr>
        <w:t>“disordered”</w:t>
      </w:r>
      <w:r w:rsidRPr="00B8514C">
        <w:rPr>
          <w:b/>
          <w:bCs/>
          <w:lang w:val="en-GB" w:eastAsia="hi-IN"/>
        </w:rPr>
        <w:t xml:space="preserve">, </w:t>
      </w:r>
      <w:r w:rsidRPr="00B8514C">
        <w:rPr>
          <w:b/>
          <w:bCs/>
          <w:i/>
          <w:iCs/>
          <w:lang w:val="en-GB" w:eastAsia="hi-IN"/>
        </w:rPr>
        <w:t>“degenerated”</w:t>
      </w:r>
      <w:r w:rsidRPr="00B8514C">
        <w:rPr>
          <w:b/>
          <w:bCs/>
          <w:lang w:val="en-GB" w:eastAsia="hi-IN"/>
        </w:rPr>
        <w:t xml:space="preserve"> or a </w:t>
      </w:r>
      <w:r w:rsidRPr="00B8514C">
        <w:rPr>
          <w:b/>
          <w:bCs/>
          <w:i/>
          <w:iCs/>
          <w:lang w:val="en-GB" w:eastAsia="hi-IN"/>
        </w:rPr>
        <w:t>“bad omen”</w:t>
      </w:r>
      <w:r w:rsidRPr="00B8514C">
        <w:rPr>
          <w:lang w:val="en-GB" w:eastAsia="hi-IN"/>
        </w:rPr>
        <w:t xml:space="preserve"> remain widespread and still inform the current harmful western medical practice, as well as other practices including infanticide and child abandonment. </w:t>
      </w:r>
      <w:r w:rsidRPr="00B8514C">
        <w:rPr>
          <w:lang w:val="en-GB"/>
        </w:rPr>
        <w:t xml:space="preserve">For example, in Pakistan intersex is considered a </w:t>
      </w:r>
      <w:r w:rsidRPr="00B8514C">
        <w:rPr>
          <w:b/>
          <w:bCs/>
          <w:i/>
          <w:lang w:val="en-GB"/>
        </w:rPr>
        <w:t>“congenital genitalia birth defect”</w:t>
      </w:r>
      <w:r w:rsidRPr="00B8514C">
        <w:rPr>
          <w:lang w:val="en-GB"/>
        </w:rPr>
        <w:t xml:space="preserve"> to be </w:t>
      </w:r>
      <w:r w:rsidRPr="00B8514C">
        <w:rPr>
          <w:i/>
          <w:iCs/>
          <w:lang w:val="en-GB"/>
        </w:rPr>
        <w:t>“cured”</w:t>
      </w:r>
      <w:r w:rsidRPr="00B8514C">
        <w:rPr>
          <w:lang w:val="en-GB"/>
        </w:rPr>
        <w:t xml:space="preserve"> by surgery </w:t>
      </w:r>
      <w:r w:rsidRPr="00B8514C">
        <w:rPr>
          <w:i/>
          <w:lang w:val="en-GB"/>
        </w:rPr>
        <w:t xml:space="preserve">“to </w:t>
      </w:r>
      <w:r w:rsidRPr="00B8514C">
        <w:rPr>
          <w:b/>
          <w:bCs/>
          <w:i/>
          <w:lang w:val="en-GB"/>
        </w:rPr>
        <w:t>make them normal persons again.”</w:t>
      </w:r>
      <w:r w:rsidRPr="00B8514C">
        <w:rPr>
          <w:lang w:val="en-GB"/>
        </w:rPr>
        <w:t xml:space="preserve"> </w:t>
      </w:r>
      <w:r w:rsidRPr="00B8514C">
        <w:rPr>
          <w:rStyle w:val="Funotenzeichen"/>
          <w:rFonts w:cs="Times New Roman"/>
          <w:lang w:val="en-GB"/>
        </w:rPr>
        <w:footnoteReference w:id="31"/>
      </w:r>
      <w:r w:rsidRPr="00B8514C">
        <w:rPr>
          <w:lang w:val="en-GB"/>
        </w:rPr>
        <w:t xml:space="preserve"> </w:t>
      </w:r>
    </w:p>
    <w:p w:rsidR="00B31808" w:rsidRPr="00B8514C" w:rsidRDefault="00B31808" w:rsidP="00A723F3">
      <w:pPr>
        <w:pStyle w:val="absatzschattenbericht"/>
        <w:spacing w:after="0"/>
        <w:rPr>
          <w:b/>
          <w:bCs/>
          <w:lang w:val="en-GB"/>
        </w:rPr>
      </w:pPr>
      <w:r w:rsidRPr="00B8514C">
        <w:rPr>
          <w:lang w:val="en-GB"/>
        </w:rPr>
        <w:t xml:space="preserve">Accordingly, the easier an intersex trait can be tested prenatally, </w:t>
      </w:r>
      <w:r w:rsidRPr="00B8514C">
        <w:rPr>
          <w:b/>
          <w:bCs/>
          <w:lang w:val="en-GB"/>
        </w:rPr>
        <w:t>the higher the selective (late term) abortion rates.</w:t>
      </w:r>
      <w:r w:rsidRPr="00B8514C">
        <w:rPr>
          <w:rStyle w:val="Funotenzeichen"/>
          <w:rFonts w:cs="Times New Roman"/>
          <w:lang w:val="en-GB"/>
        </w:rPr>
        <w:footnoteReference w:id="32"/>
      </w:r>
      <w:r w:rsidRPr="00B8514C">
        <w:rPr>
          <w:lang w:val="en-GB"/>
        </w:rPr>
        <w:t xml:space="preserve"> Most intersex diagnoses are also listed as permissible for de-selection in State sponsored </w:t>
      </w:r>
      <w:r w:rsidRPr="00B8514C">
        <w:rPr>
          <w:b/>
          <w:bCs/>
          <w:lang w:val="en-GB"/>
        </w:rPr>
        <w:t>pre-implantation genetic diagnosis (PGD)</w:t>
      </w:r>
      <w:r w:rsidRPr="00B8514C">
        <w:rPr>
          <w:lang w:val="en-GB"/>
        </w:rPr>
        <w:t xml:space="preserve"> guidelines</w:t>
      </w:r>
      <w:r w:rsidRPr="00B8514C">
        <w:rPr>
          <w:rStyle w:val="Funotenzeichen"/>
          <w:rFonts w:cs="Times New Roman"/>
          <w:lang w:val="en-GB"/>
        </w:rPr>
        <w:footnoteReference w:id="33"/>
      </w:r>
      <w:r w:rsidRPr="00B8514C">
        <w:rPr>
          <w:lang w:val="en-GB"/>
        </w:rPr>
        <w:t>, and e.g. in Switzerland IGM practices are paid for by the</w:t>
      </w:r>
      <w:r w:rsidRPr="00B8514C">
        <w:rPr>
          <w:b/>
          <w:bCs/>
          <w:lang w:val="en-GB"/>
        </w:rPr>
        <w:t xml:space="preserve"> </w:t>
      </w:r>
      <w:r w:rsidR="00CE7C12" w:rsidRPr="00B8514C">
        <w:rPr>
          <w:b/>
          <w:bCs/>
          <w:lang w:val="en-GB"/>
        </w:rPr>
        <w:t>“</w:t>
      </w:r>
      <w:r w:rsidRPr="00B8514C">
        <w:rPr>
          <w:b/>
          <w:bCs/>
          <w:lang w:val="en-GB"/>
        </w:rPr>
        <w:t xml:space="preserve">Federal </w:t>
      </w:r>
      <w:r w:rsidR="00CE7C12" w:rsidRPr="00B8514C">
        <w:rPr>
          <w:b/>
          <w:bCs/>
          <w:lang w:val="en-GB"/>
        </w:rPr>
        <w:t>Invalidity</w:t>
      </w:r>
      <w:r w:rsidRPr="00B8514C">
        <w:rPr>
          <w:b/>
          <w:bCs/>
          <w:lang w:val="en-GB"/>
        </w:rPr>
        <w:t xml:space="preserve"> Insurance</w:t>
      </w:r>
      <w:r w:rsidR="00CE7C12" w:rsidRPr="00B8514C">
        <w:rPr>
          <w:b/>
          <w:bCs/>
          <w:lang w:val="en-GB"/>
        </w:rPr>
        <w:t>”</w:t>
      </w:r>
      <w:r w:rsidRPr="00B8514C">
        <w:rPr>
          <w:b/>
          <w:bCs/>
          <w:lang w:val="en-GB"/>
        </w:rPr>
        <w:t>.</w:t>
      </w:r>
      <w:r w:rsidRPr="00B8514C">
        <w:rPr>
          <w:rStyle w:val="Funotenzeichen"/>
          <w:rFonts w:cs="Times New Roman"/>
          <w:lang w:val="en-GB"/>
        </w:rPr>
        <w:footnoteReference w:id="34"/>
      </w:r>
    </w:p>
    <w:p w:rsidR="00BA0BE6" w:rsidRPr="00B8514C" w:rsidRDefault="00B44665" w:rsidP="0058006E">
      <w:pPr>
        <w:pStyle w:val="absatzschattenbericht"/>
        <w:rPr>
          <w:lang w:val="en-GB"/>
        </w:rPr>
      </w:pPr>
      <w:r w:rsidRPr="00B8514C">
        <w:rPr>
          <w:lang w:val="en-GB"/>
        </w:rPr>
        <w:lastRenderedPageBreak/>
        <w:t xml:space="preserve">In our analysis, </w:t>
      </w:r>
      <w:r w:rsidR="000F7E8A" w:rsidRPr="00B8514C">
        <w:rPr>
          <w:lang w:val="en-GB"/>
        </w:rPr>
        <w:t xml:space="preserve">in “developed” countries </w:t>
      </w:r>
      <w:r w:rsidR="00CE7C12" w:rsidRPr="00B8514C">
        <w:rPr>
          <w:lang w:val="en-GB"/>
        </w:rPr>
        <w:t xml:space="preserve">a </w:t>
      </w:r>
      <w:r w:rsidR="00CE7C12" w:rsidRPr="00B8514C">
        <w:rPr>
          <w:b/>
          <w:bCs/>
          <w:lang w:val="en-GB"/>
        </w:rPr>
        <w:t>good practice to combat the stigma, taboo and prejudice</w:t>
      </w:r>
      <w:r w:rsidR="00CE7C12" w:rsidRPr="00B8514C">
        <w:rPr>
          <w:lang w:val="en-GB"/>
        </w:rPr>
        <w:t xml:space="preserve"> associated with being intersex would be to </w:t>
      </w:r>
      <w:r w:rsidR="00CE7C12" w:rsidRPr="00B8514C">
        <w:rPr>
          <w:b/>
          <w:bCs/>
          <w:lang w:val="en-GB"/>
        </w:rPr>
        <w:t xml:space="preserve">teach the biological facts about intersex </w:t>
      </w:r>
      <w:r w:rsidR="00CE7C12" w:rsidRPr="00B8514C">
        <w:rPr>
          <w:lang w:val="en-GB"/>
        </w:rPr>
        <w:t xml:space="preserve">as a natural bodily variation and the possible pathways of genital development in </w:t>
      </w:r>
      <w:r w:rsidR="00CE7C12" w:rsidRPr="00B8514C">
        <w:rPr>
          <w:b/>
          <w:bCs/>
          <w:lang w:val="en-GB"/>
        </w:rPr>
        <w:t>biology school curricula</w:t>
      </w:r>
      <w:r w:rsidR="00CE7C12" w:rsidRPr="00B8514C">
        <w:rPr>
          <w:lang w:val="en-GB"/>
        </w:rPr>
        <w:t>, for example when discussing f</w:t>
      </w:r>
      <w:r w:rsidR="002F25A4">
        <w:rPr>
          <w:lang w:val="en-GB"/>
        </w:rPr>
        <w:t>o</w:t>
      </w:r>
      <w:r w:rsidR="00CE7C12" w:rsidRPr="00B8514C">
        <w:rPr>
          <w:lang w:val="en-GB"/>
        </w:rPr>
        <w:t xml:space="preserve">etal development. However, so far this has hardly been implemented. In </w:t>
      </w:r>
      <w:r w:rsidR="00CE7C12" w:rsidRPr="00B8514C">
        <w:rPr>
          <w:b/>
          <w:bCs/>
          <w:lang w:val="en-GB"/>
        </w:rPr>
        <w:t xml:space="preserve">rural </w:t>
      </w:r>
      <w:r w:rsidR="000F7E8A" w:rsidRPr="00B8514C">
        <w:rPr>
          <w:b/>
          <w:bCs/>
          <w:lang w:val="en-GB"/>
        </w:rPr>
        <w:t>contexts</w:t>
      </w:r>
      <w:r w:rsidR="00CE7C12" w:rsidRPr="00B8514C">
        <w:rPr>
          <w:lang w:val="en-GB"/>
        </w:rPr>
        <w:t>, a</w:t>
      </w:r>
      <w:r w:rsidR="000F7E8A" w:rsidRPr="00B8514C">
        <w:rPr>
          <w:lang w:val="en-GB"/>
        </w:rPr>
        <w:t>n existing</w:t>
      </w:r>
      <w:r w:rsidR="00CE7C12" w:rsidRPr="00B8514C">
        <w:rPr>
          <w:lang w:val="en-GB"/>
        </w:rPr>
        <w:t xml:space="preserve"> good practice is intersex advocates </w:t>
      </w:r>
      <w:r w:rsidR="000F7E8A" w:rsidRPr="00B8514C">
        <w:rPr>
          <w:lang w:val="en-GB"/>
        </w:rPr>
        <w:t>and organi</w:t>
      </w:r>
      <w:r w:rsidR="007D688E" w:rsidRPr="00B8514C">
        <w:rPr>
          <w:lang w:val="en-GB"/>
        </w:rPr>
        <w:t>s</w:t>
      </w:r>
      <w:r w:rsidR="000F7E8A" w:rsidRPr="00B8514C">
        <w:rPr>
          <w:lang w:val="en-GB"/>
        </w:rPr>
        <w:t xml:space="preserve">ations </w:t>
      </w:r>
      <w:r w:rsidR="00CE7C12" w:rsidRPr="00B8514C">
        <w:rPr>
          <w:lang w:val="en-GB"/>
        </w:rPr>
        <w:t xml:space="preserve">doing </w:t>
      </w:r>
      <w:r w:rsidR="00CE7C12" w:rsidRPr="00B8514C">
        <w:rPr>
          <w:b/>
          <w:bCs/>
          <w:lang w:val="en-GB"/>
        </w:rPr>
        <w:t>outreach programmes</w:t>
      </w:r>
      <w:r w:rsidR="00CE7C12" w:rsidRPr="00B8514C">
        <w:rPr>
          <w:lang w:val="en-GB"/>
        </w:rPr>
        <w:t xml:space="preserve">, discussing </w:t>
      </w:r>
      <w:r w:rsidR="000F7E8A" w:rsidRPr="00B8514C">
        <w:rPr>
          <w:lang w:val="en-GB"/>
        </w:rPr>
        <w:t xml:space="preserve">intersex issues with </w:t>
      </w:r>
      <w:r w:rsidR="000F7E8A" w:rsidRPr="00B8514C">
        <w:rPr>
          <w:b/>
          <w:bCs/>
          <w:lang w:val="en-GB"/>
        </w:rPr>
        <w:t>local people and traditional leaders and healers</w:t>
      </w:r>
      <w:r w:rsidR="000F7E8A" w:rsidRPr="00B8514C">
        <w:rPr>
          <w:lang w:val="en-GB"/>
        </w:rPr>
        <w:t>.</w:t>
      </w:r>
      <w:r w:rsidR="000F7E8A" w:rsidRPr="00B8514C">
        <w:rPr>
          <w:rStyle w:val="Funotenzeichen"/>
          <w:sz w:val="23"/>
          <w:szCs w:val="23"/>
          <w:lang w:val="en-GB"/>
        </w:rPr>
        <w:t xml:space="preserve"> </w:t>
      </w:r>
      <w:r w:rsidR="000F7E8A" w:rsidRPr="00B8514C">
        <w:rPr>
          <w:rStyle w:val="Funotenzeichen"/>
          <w:sz w:val="23"/>
          <w:szCs w:val="23"/>
          <w:lang w:val="en-GB"/>
        </w:rPr>
        <w:footnoteReference w:id="35"/>
      </w:r>
      <w:r w:rsidR="00CE7C12" w:rsidRPr="00B8514C">
        <w:rPr>
          <w:lang w:val="en-GB"/>
        </w:rPr>
        <w:t xml:space="preserve"> </w:t>
      </w:r>
      <w:r w:rsidR="000F7E8A" w:rsidRPr="00B8514C">
        <w:rPr>
          <w:rStyle w:val="Funotenzeichen"/>
          <w:sz w:val="23"/>
          <w:szCs w:val="23"/>
          <w:lang w:val="en-GB"/>
        </w:rPr>
        <w:footnoteReference w:id="36"/>
      </w:r>
      <w:r w:rsidR="000F7E8A" w:rsidRPr="00B8514C">
        <w:rPr>
          <w:lang w:val="en-GB"/>
        </w:rPr>
        <w:t xml:space="preserve"> </w:t>
      </w:r>
      <w:r w:rsidR="000F7E8A" w:rsidRPr="00B8514C">
        <w:rPr>
          <w:rStyle w:val="Funotenzeichen"/>
          <w:sz w:val="23"/>
          <w:szCs w:val="23"/>
          <w:lang w:val="en-GB"/>
        </w:rPr>
        <w:footnoteReference w:id="37"/>
      </w:r>
    </w:p>
    <w:p w:rsidR="006026D0" w:rsidRPr="00B8514C" w:rsidRDefault="00830BA5" w:rsidP="00B8514C">
      <w:pPr>
        <w:pStyle w:val="Title2"/>
      </w:pPr>
      <w:bookmarkStart w:id="5" w:name="_Toc185616873"/>
      <w:r>
        <w:t>4</w:t>
      </w:r>
      <w:r w:rsidR="006026D0" w:rsidRPr="00B8514C">
        <w:t xml:space="preserve">.  </w:t>
      </w:r>
      <w:r w:rsidR="00DB7549" w:rsidRPr="00B8514C">
        <w:t>Relevant UN Convention</w:t>
      </w:r>
      <w:r w:rsidR="00107BE2" w:rsidRPr="00B8514C">
        <w:t xml:space="preserve"> articles</w:t>
      </w:r>
      <w:r w:rsidR="00DB7549" w:rsidRPr="00B8514C">
        <w:t xml:space="preserve"> according to</w:t>
      </w:r>
      <w:r w:rsidR="007F7192" w:rsidRPr="00B8514C">
        <w:t xml:space="preserve"> </w:t>
      </w:r>
      <w:r w:rsidR="006026D0" w:rsidRPr="00B8514C">
        <w:t xml:space="preserve">Treaty </w:t>
      </w:r>
      <w:r w:rsidR="00B8514C" w:rsidRPr="00B8514C">
        <w:t>bodie</w:t>
      </w:r>
      <w:r w:rsidR="00DB7549" w:rsidRPr="00B8514C">
        <w:t>s</w:t>
      </w:r>
      <w:bookmarkEnd w:id="5"/>
    </w:p>
    <w:p w:rsidR="00AB0F46" w:rsidRDefault="00610A74" w:rsidP="00AB0F46">
      <w:pPr>
        <w:pStyle w:val="absatzschattenbericht"/>
        <w:rPr>
          <w:lang w:val="en-GB"/>
        </w:rPr>
      </w:pPr>
      <w:r w:rsidRPr="00010522">
        <w:rPr>
          <w:b/>
          <w:lang w:val="en-GB"/>
        </w:rPr>
        <w:t>UN Convention on the Rights of the Child (CRC):</w:t>
      </w:r>
      <w:r w:rsidRPr="00010522">
        <w:rPr>
          <w:lang w:val="en-GB"/>
        </w:rPr>
        <w:t xml:space="preserve"> The Committee on the Rights of the Child has recognised </w:t>
      </w:r>
      <w:r w:rsidRPr="002F25A4">
        <w:rPr>
          <w:i/>
          <w:iCs/>
          <w:lang w:val="en-GB"/>
        </w:rPr>
        <w:t>“intersex genital mutilation”</w:t>
      </w:r>
      <w:r w:rsidRPr="00010522">
        <w:rPr>
          <w:lang w:val="en-GB"/>
        </w:rPr>
        <w:t xml:space="preserve"> (CRC/C/ZAF/CO/2) and </w:t>
      </w:r>
      <w:r w:rsidRPr="00010522">
        <w:rPr>
          <w:i/>
          <w:iCs/>
          <w:lang w:val="en-GB"/>
        </w:rPr>
        <w:t>“medically unnecessary surgeries and other procedures on intersex children before they are able to provide their informed consent”</w:t>
      </w:r>
      <w:r w:rsidRPr="00010522">
        <w:rPr>
          <w:lang w:val="en-GB"/>
        </w:rPr>
        <w:t xml:space="preserve"> (CRC/C/GBR/CO/5) to constitute a </w:t>
      </w:r>
      <w:r w:rsidRPr="00010522">
        <w:rPr>
          <w:b/>
          <w:i/>
          <w:iCs/>
          <w:lang w:val="en-GB"/>
        </w:rPr>
        <w:t>“harmful practice”</w:t>
      </w:r>
      <w:r w:rsidRPr="00010522">
        <w:rPr>
          <w:b/>
          <w:lang w:val="en-GB"/>
        </w:rPr>
        <w:t xml:space="preserve"> (CRC art. 24(3)</w:t>
      </w:r>
      <w:r w:rsidRPr="00010522">
        <w:rPr>
          <w:lang w:val="en-GB"/>
        </w:rPr>
        <w:t xml:space="preserve"> in conjunction with the CRC-CEDAW Joint General Comment/Recommendation No. 18/31 </w:t>
      </w:r>
      <w:r w:rsidRPr="00010522">
        <w:rPr>
          <w:i/>
          <w:iCs/>
          <w:lang w:val="en-GB"/>
        </w:rPr>
        <w:t>“on harmful practices”</w:t>
      </w:r>
      <w:r w:rsidRPr="00010522">
        <w:rPr>
          <w:lang w:val="en-GB"/>
        </w:rPr>
        <w:t xml:space="preserve">) in currently </w:t>
      </w:r>
      <w:r w:rsidR="00FD6087" w:rsidRPr="00010522">
        <w:rPr>
          <w:b/>
          <w:lang w:val="en-GB"/>
        </w:rPr>
        <w:t>40</w:t>
      </w:r>
      <w:r w:rsidRPr="00010522">
        <w:rPr>
          <w:b/>
          <w:lang w:val="en-GB"/>
        </w:rPr>
        <w:t xml:space="preserve"> Concluding Observations</w:t>
      </w:r>
      <w:r w:rsidRPr="00010522">
        <w:rPr>
          <w:lang w:val="en-GB"/>
        </w:rPr>
        <w:t>,</w:t>
      </w:r>
      <w:r w:rsidR="00623265" w:rsidRPr="00010522">
        <w:rPr>
          <w:rStyle w:val="Funotenzeichen"/>
          <w:sz w:val="23"/>
          <w:szCs w:val="23"/>
          <w:lang w:val="en-GB"/>
        </w:rPr>
        <w:footnoteReference w:id="38"/>
      </w:r>
      <w:r w:rsidRPr="00010522">
        <w:rPr>
          <w:lang w:val="en-GB"/>
        </w:rPr>
        <w:t xml:space="preserve"> sometimes additionally invoking target 5.3 of the Sustainable Development Goals (SDGs) (CRC/C/MLT/CO/3-6).</w:t>
      </w:r>
    </w:p>
    <w:p w:rsidR="00C1098A" w:rsidRPr="00B8514C" w:rsidRDefault="00C1098A" w:rsidP="00C1098A">
      <w:pPr>
        <w:pStyle w:val="absatzschattenbericht"/>
        <w:rPr>
          <w:lang w:val="en-GB"/>
        </w:rPr>
      </w:pPr>
      <w:r w:rsidRPr="00010522">
        <w:rPr>
          <w:b/>
          <w:lang w:val="en-GB"/>
        </w:rPr>
        <w:t>UN Convention on the Rights of Persons with Disabilities (CRPD):</w:t>
      </w:r>
      <w:r w:rsidRPr="00010522">
        <w:rPr>
          <w:lang w:val="en-GB"/>
        </w:rPr>
        <w:t xml:space="preserve"> The Committee on the Rights of Persons with Disabilities has recognised </w:t>
      </w:r>
      <w:r w:rsidR="002F25A4" w:rsidRPr="002F25A4">
        <w:rPr>
          <w:i/>
          <w:iCs/>
          <w:lang w:val="en-GB"/>
        </w:rPr>
        <w:t>“intersex genital mutilation”</w:t>
      </w:r>
      <w:r w:rsidR="002F25A4">
        <w:rPr>
          <w:lang w:val="en-GB"/>
        </w:rPr>
        <w:t xml:space="preserve"> (</w:t>
      </w:r>
      <w:r w:rsidR="002F25A4" w:rsidRPr="00741C1D">
        <w:t>CRPD/C/CHE/CO/1</w:t>
      </w:r>
      <w:r w:rsidR="002F25A4">
        <w:rPr>
          <w:lang w:val="en-GB"/>
        </w:rPr>
        <w:t xml:space="preserve">) </w:t>
      </w:r>
      <w:proofErr w:type="spellStart"/>
      <w:r w:rsidR="002F25A4">
        <w:rPr>
          <w:lang w:val="en-GB"/>
        </w:rPr>
        <w:t>and</w:t>
      </w:r>
      <w:r w:rsidRPr="00010522">
        <w:rPr>
          <w:i/>
          <w:lang w:val="en-GB"/>
        </w:rPr>
        <w:t>“unnecessary</w:t>
      </w:r>
      <w:proofErr w:type="spellEnd"/>
      <w:r w:rsidRPr="00010522">
        <w:rPr>
          <w:i/>
          <w:lang w:val="en-GB"/>
        </w:rPr>
        <w:t xml:space="preserve">, invasive and irreversible medical interventions, including surgical, hormonal or other medical procedures on intersex children before they reach the legal age of consent” </w:t>
      </w:r>
      <w:r w:rsidRPr="00010522">
        <w:rPr>
          <w:lang w:val="en-GB"/>
        </w:rPr>
        <w:t xml:space="preserve">(CRPD/C/AUS/CO/2-3) to constitute a violation of </w:t>
      </w:r>
      <w:r w:rsidRPr="00010522">
        <w:rPr>
          <w:b/>
          <w:lang w:val="en-GB"/>
        </w:rPr>
        <w:t xml:space="preserve">CRPD art. 17, </w:t>
      </w:r>
      <w:r w:rsidRPr="00010522">
        <w:rPr>
          <w:b/>
          <w:i/>
          <w:lang w:val="en-GB"/>
        </w:rPr>
        <w:t>“Protecting the integrity of the person”</w:t>
      </w:r>
      <w:r w:rsidRPr="00010522">
        <w:rPr>
          <w:lang w:val="en-GB"/>
        </w:rPr>
        <w:t xml:space="preserve"> in currently </w:t>
      </w:r>
      <w:r w:rsidRPr="00010522">
        <w:rPr>
          <w:b/>
          <w:lang w:val="en-GB"/>
        </w:rPr>
        <w:t>17 Concluding Observations</w:t>
      </w:r>
      <w:r w:rsidRPr="00010522">
        <w:rPr>
          <w:lang w:val="en-GB"/>
        </w:rPr>
        <w:t>,</w:t>
      </w:r>
      <w:r w:rsidRPr="00010522">
        <w:rPr>
          <w:rStyle w:val="Funotenzeichen"/>
          <w:sz w:val="23"/>
          <w:szCs w:val="23"/>
          <w:lang w:val="en-GB"/>
        </w:rPr>
        <w:footnoteReference w:id="39"/>
      </w:r>
      <w:r w:rsidRPr="00010522">
        <w:rPr>
          <w:lang w:val="en-GB"/>
        </w:rPr>
        <w:t xml:space="preserve"> further invoking </w:t>
      </w:r>
      <w:r w:rsidRPr="00010522">
        <w:rPr>
          <w:b/>
          <w:lang w:val="en-GB"/>
        </w:rPr>
        <w:t xml:space="preserve">art. 16 </w:t>
      </w:r>
      <w:r w:rsidRPr="00010522">
        <w:rPr>
          <w:b/>
          <w:i/>
          <w:lang w:val="en-GB"/>
        </w:rPr>
        <w:t>“Freedom from exploitation, violence and abuse”</w:t>
      </w:r>
      <w:r w:rsidRPr="00010522">
        <w:rPr>
          <w:i/>
          <w:lang w:val="en-GB"/>
        </w:rPr>
        <w:t xml:space="preserve"> </w:t>
      </w:r>
      <w:r w:rsidRPr="00010522">
        <w:rPr>
          <w:lang w:val="en-GB"/>
        </w:rPr>
        <w:t>and target 16.3 of the Sustainable Development Goals (SDGs)</w:t>
      </w:r>
      <w:r w:rsidRPr="00010522">
        <w:rPr>
          <w:i/>
          <w:lang w:val="en-GB"/>
        </w:rPr>
        <w:t xml:space="preserve"> </w:t>
      </w:r>
      <w:r w:rsidRPr="00010522">
        <w:rPr>
          <w:lang w:val="en-GB"/>
        </w:rPr>
        <w:t xml:space="preserve">(CRPD/C/GBR/CO/1), </w:t>
      </w:r>
      <w:r w:rsidRPr="00010522">
        <w:rPr>
          <w:b/>
          <w:lang w:val="en-GB"/>
        </w:rPr>
        <w:t>art. 10</w:t>
      </w:r>
      <w:r w:rsidRPr="00010522">
        <w:rPr>
          <w:lang w:val="en-GB"/>
        </w:rPr>
        <w:t xml:space="preserve"> </w:t>
      </w:r>
      <w:r w:rsidRPr="00010522">
        <w:rPr>
          <w:b/>
          <w:i/>
          <w:lang w:val="en-GB"/>
        </w:rPr>
        <w:t>“Right to life”</w:t>
      </w:r>
      <w:r w:rsidRPr="00010522">
        <w:rPr>
          <w:lang w:val="en-GB"/>
        </w:rPr>
        <w:t xml:space="preserve"> (CRPD/C/IND/CO/1, </w:t>
      </w:r>
      <w:r w:rsidRPr="00010522">
        <w:rPr>
          <w:iCs/>
          <w:lang w:val="en-GB"/>
        </w:rPr>
        <w:t>regarding</w:t>
      </w:r>
      <w:r w:rsidRPr="00010522">
        <w:rPr>
          <w:lang w:val="en-GB"/>
        </w:rPr>
        <w:t xml:space="preserve"> infanticide (</w:t>
      </w:r>
      <w:r w:rsidRPr="00010522">
        <w:rPr>
          <w:i/>
          <w:lang w:val="en-GB"/>
        </w:rPr>
        <w:t>“mercy killings”</w:t>
      </w:r>
      <w:r w:rsidRPr="00010522">
        <w:rPr>
          <w:lang w:val="en-GB"/>
        </w:rPr>
        <w:t>)</w:t>
      </w:r>
      <w:r w:rsidRPr="00010522">
        <w:rPr>
          <w:i/>
          <w:lang w:val="en-GB"/>
        </w:rPr>
        <w:t xml:space="preserve"> </w:t>
      </w:r>
      <w:r w:rsidRPr="00010522">
        <w:rPr>
          <w:lang w:val="en-GB"/>
        </w:rPr>
        <w:t xml:space="preserve">of intersex children), and </w:t>
      </w:r>
      <w:r w:rsidRPr="00010522">
        <w:rPr>
          <w:b/>
          <w:bCs/>
          <w:lang w:val="en-GB"/>
        </w:rPr>
        <w:t>art. 15</w:t>
      </w:r>
      <w:r w:rsidRPr="00010522">
        <w:rPr>
          <w:lang w:val="en-GB"/>
        </w:rPr>
        <w:t xml:space="preserve"> </w:t>
      </w:r>
      <w:r w:rsidRPr="00010522">
        <w:rPr>
          <w:b/>
          <w:bCs/>
          <w:i/>
          <w:iCs/>
          <w:lang w:val="en-GB"/>
        </w:rPr>
        <w:t>“Freedom from torture or cruel, inhuman or degrading treatment or punishment”</w:t>
      </w:r>
      <w:r w:rsidRPr="00010522">
        <w:rPr>
          <w:lang w:val="en-GB"/>
        </w:rPr>
        <w:t xml:space="preserve"> (CRPD/C/AUT/CO/2-3). Further, in General Comment No. 3, para. 33, the Committee has again explicitly recognised IGM practices to constitute </w:t>
      </w:r>
      <w:r w:rsidRPr="00010522">
        <w:rPr>
          <w:i/>
          <w:lang w:val="en-GB"/>
        </w:rPr>
        <w:t>“cruel, inhuman or degrading treatment”</w:t>
      </w:r>
      <w:r w:rsidRPr="00010522">
        <w:rPr>
          <w:lang w:val="en-GB"/>
        </w:rPr>
        <w:t>.</w:t>
      </w:r>
    </w:p>
    <w:p w:rsidR="00DB7549" w:rsidRPr="00B8514C" w:rsidRDefault="00ED5027" w:rsidP="00AB0F46">
      <w:pPr>
        <w:pStyle w:val="absatzschattenbericht"/>
        <w:rPr>
          <w:lang w:val="en-GB"/>
        </w:rPr>
      </w:pPr>
      <w:r w:rsidRPr="00010522">
        <w:rPr>
          <w:b/>
          <w:lang w:val="en-GB"/>
        </w:rPr>
        <w:t>UN Convention on the Elimination of all Forms of Discrimination against Women (CEDAW</w:t>
      </w:r>
      <w:r w:rsidR="0076686D" w:rsidRPr="00010522">
        <w:rPr>
          <w:b/>
          <w:lang w:val="en-GB"/>
        </w:rPr>
        <w:t>):</w:t>
      </w:r>
      <w:r w:rsidR="000953A5" w:rsidRPr="00010522">
        <w:rPr>
          <w:lang w:val="en-GB"/>
        </w:rPr>
        <w:t xml:space="preserve"> </w:t>
      </w:r>
      <w:r w:rsidRPr="00010522">
        <w:rPr>
          <w:lang w:val="en-GB"/>
        </w:rPr>
        <w:t xml:space="preserve">The Committee on the Elimination of Discrimination against Women has recognised </w:t>
      </w:r>
      <w:r w:rsidRPr="00010522">
        <w:rPr>
          <w:i/>
          <w:lang w:val="en-GB"/>
        </w:rPr>
        <w:t xml:space="preserve">“intersex genital mutilation” </w:t>
      </w:r>
      <w:r w:rsidRPr="00010522">
        <w:rPr>
          <w:lang w:val="en-GB"/>
        </w:rPr>
        <w:t xml:space="preserve">(CEDAW/C/CHE/CO/4-5) and </w:t>
      </w:r>
      <w:r w:rsidRPr="00010522">
        <w:rPr>
          <w:i/>
          <w:lang w:val="en-GB"/>
        </w:rPr>
        <w:t xml:space="preserve">“unnecessary medical procedures on intersex infants and children until they reach an age when they are able to give their free, prior and informed consent” </w:t>
      </w:r>
      <w:r w:rsidRPr="00010522">
        <w:rPr>
          <w:lang w:val="en-GB"/>
        </w:rPr>
        <w:t xml:space="preserve">(CEDAW/C/CHL/CO/7) to constitute a </w:t>
      </w:r>
      <w:r w:rsidRPr="00010522">
        <w:rPr>
          <w:b/>
          <w:i/>
          <w:lang w:val="en-GB"/>
        </w:rPr>
        <w:t xml:space="preserve">“harmful practice” </w:t>
      </w:r>
      <w:r w:rsidRPr="00010522">
        <w:rPr>
          <w:b/>
          <w:lang w:val="en-GB"/>
        </w:rPr>
        <w:t>(CEDAW art. 5</w:t>
      </w:r>
      <w:r w:rsidRPr="00010522">
        <w:rPr>
          <w:lang w:val="en-GB"/>
        </w:rPr>
        <w:t xml:space="preserve"> in conjunction with the CEDAW-CRC Joint General Recommendation/Comment No. 31/18 </w:t>
      </w:r>
      <w:r w:rsidRPr="00010522">
        <w:rPr>
          <w:i/>
          <w:lang w:val="en-GB"/>
        </w:rPr>
        <w:t>“on harmful practices”</w:t>
      </w:r>
      <w:r w:rsidRPr="00010522">
        <w:rPr>
          <w:lang w:val="en-GB"/>
        </w:rPr>
        <w:t>)</w:t>
      </w:r>
      <w:r w:rsidRPr="00010522">
        <w:rPr>
          <w:i/>
          <w:lang w:val="en-GB"/>
        </w:rPr>
        <w:t xml:space="preserve"> </w:t>
      </w:r>
      <w:r w:rsidRPr="00010522">
        <w:rPr>
          <w:lang w:val="en-GB"/>
        </w:rPr>
        <w:t xml:space="preserve">in currently </w:t>
      </w:r>
      <w:r w:rsidR="00FD6087" w:rsidRPr="00010522">
        <w:rPr>
          <w:b/>
          <w:lang w:val="en-GB"/>
        </w:rPr>
        <w:t>15</w:t>
      </w:r>
      <w:r w:rsidRPr="00010522">
        <w:rPr>
          <w:b/>
          <w:lang w:val="en-GB"/>
        </w:rPr>
        <w:t xml:space="preserve"> Concluding Observations</w:t>
      </w:r>
      <w:r w:rsidRPr="00010522">
        <w:rPr>
          <w:lang w:val="en-GB"/>
        </w:rPr>
        <w:t>,</w:t>
      </w:r>
      <w:r w:rsidR="00DB7549" w:rsidRPr="00010522">
        <w:rPr>
          <w:rStyle w:val="Funotenzeichen"/>
          <w:sz w:val="23"/>
          <w:szCs w:val="23"/>
          <w:lang w:val="en-GB"/>
        </w:rPr>
        <w:footnoteReference w:id="40"/>
      </w:r>
      <w:r w:rsidRPr="00010522">
        <w:rPr>
          <w:lang w:val="en-GB"/>
        </w:rPr>
        <w:t xml:space="preserve"> sometimes additionally invoking target 5.3 of the Sustainable Development Goals (SDGs) (CEDAW/C/NPL/CO/6).</w:t>
      </w:r>
      <w:r w:rsidRPr="00B8514C">
        <w:rPr>
          <w:lang w:val="en-GB"/>
        </w:rPr>
        <w:t xml:space="preserve"> </w:t>
      </w:r>
    </w:p>
    <w:p w:rsidR="00DB7549" w:rsidRPr="00B8514C" w:rsidRDefault="00F713F5" w:rsidP="00AB0F46">
      <w:pPr>
        <w:pStyle w:val="absatzschattenbericht"/>
        <w:rPr>
          <w:lang w:val="en-GB"/>
        </w:rPr>
      </w:pPr>
      <w:r w:rsidRPr="00010522">
        <w:rPr>
          <w:b/>
          <w:lang w:val="en-GB"/>
        </w:rPr>
        <w:lastRenderedPageBreak/>
        <w:t>UN Convention against Torture (CAT):</w:t>
      </w:r>
      <w:r w:rsidRPr="00010522">
        <w:rPr>
          <w:lang w:val="en-GB"/>
        </w:rPr>
        <w:t xml:space="preserve"> The Committee against Torture has recognised </w:t>
      </w:r>
      <w:r w:rsidRPr="00010522">
        <w:rPr>
          <w:i/>
          <w:lang w:val="en-GB"/>
        </w:rPr>
        <w:t xml:space="preserve">“unnecessary and non-urgent surgery and other medical treatment” </w:t>
      </w:r>
      <w:r w:rsidRPr="00010522">
        <w:rPr>
          <w:lang w:val="en-GB"/>
        </w:rPr>
        <w:t xml:space="preserve">on intersex children (CAT/C/AUT/CO/6) to constitute </w:t>
      </w:r>
      <w:r w:rsidRPr="00010522">
        <w:rPr>
          <w:b/>
          <w:i/>
          <w:lang w:val="en-GB"/>
        </w:rPr>
        <w:t xml:space="preserve">“cruel, inhuman or degrading treatment” </w:t>
      </w:r>
      <w:r w:rsidRPr="00010522">
        <w:rPr>
          <w:b/>
          <w:lang w:val="en-GB"/>
        </w:rPr>
        <w:t>(CAT art. 16)</w:t>
      </w:r>
      <w:r w:rsidRPr="00010522">
        <w:rPr>
          <w:lang w:val="en-GB"/>
        </w:rPr>
        <w:t xml:space="preserve">, further invoking </w:t>
      </w:r>
      <w:r w:rsidRPr="00010522">
        <w:rPr>
          <w:b/>
          <w:lang w:val="en-GB"/>
        </w:rPr>
        <w:t>arts. 2 (non-</w:t>
      </w:r>
      <w:proofErr w:type="spellStart"/>
      <w:r w:rsidRPr="00010522">
        <w:rPr>
          <w:b/>
          <w:lang w:val="en-GB"/>
        </w:rPr>
        <w:t>derogability</w:t>
      </w:r>
      <w:proofErr w:type="spellEnd"/>
      <w:r w:rsidRPr="00010522">
        <w:rPr>
          <w:b/>
          <w:lang w:val="en-GB"/>
        </w:rPr>
        <w:t>), 12 (impartial investigation), and 14 (redress)</w:t>
      </w:r>
      <w:r w:rsidRPr="00010522">
        <w:rPr>
          <w:lang w:val="en-GB"/>
        </w:rPr>
        <w:t xml:space="preserve"> in currently </w:t>
      </w:r>
      <w:r w:rsidR="00FD6087" w:rsidRPr="00010522">
        <w:rPr>
          <w:b/>
          <w:lang w:val="en-GB"/>
        </w:rPr>
        <w:t>14</w:t>
      </w:r>
      <w:r w:rsidRPr="00010522">
        <w:rPr>
          <w:b/>
          <w:lang w:val="en-GB"/>
        </w:rPr>
        <w:t xml:space="preserve"> Concluding Observations</w:t>
      </w:r>
      <w:r w:rsidRPr="00010522">
        <w:rPr>
          <w:lang w:val="en-GB"/>
        </w:rPr>
        <w:t>.</w:t>
      </w:r>
      <w:r w:rsidR="00DB7549" w:rsidRPr="00010522">
        <w:rPr>
          <w:rStyle w:val="Funotenzeichen"/>
          <w:sz w:val="23"/>
          <w:szCs w:val="23"/>
          <w:lang w:val="en-GB"/>
        </w:rPr>
        <w:footnoteReference w:id="41"/>
      </w:r>
    </w:p>
    <w:p w:rsidR="001730CA" w:rsidRPr="00B8514C" w:rsidRDefault="00D51267" w:rsidP="00AB0F46">
      <w:pPr>
        <w:pStyle w:val="absatzschattenbericht"/>
        <w:rPr>
          <w:lang w:val="en-GB"/>
        </w:rPr>
      </w:pPr>
      <w:r w:rsidRPr="00010522">
        <w:rPr>
          <w:b/>
          <w:lang w:val="en-GB"/>
        </w:rPr>
        <w:t>International Covenant on Civil and Political Rights (CCPR):</w:t>
      </w:r>
      <w:r w:rsidRPr="00010522">
        <w:rPr>
          <w:lang w:val="en-GB"/>
        </w:rPr>
        <w:t xml:space="preserve"> The Human Rights Committee has recognised </w:t>
      </w:r>
      <w:r w:rsidRPr="00010522">
        <w:rPr>
          <w:i/>
          <w:lang w:val="en-GB"/>
        </w:rPr>
        <w:t>“irreversible medical treatment, especially surgery, of intersex infants and children, who are not yet able to provide fully informed and free consent, unless such procedures constitute an absolute medical necessity”</w:t>
      </w:r>
      <w:r w:rsidRPr="00010522">
        <w:rPr>
          <w:lang w:val="en-GB"/>
        </w:rPr>
        <w:t xml:space="preserve"> (CCPR/C/AUS/CO/6) to constitute a violation of </w:t>
      </w:r>
      <w:r w:rsidRPr="00010522">
        <w:rPr>
          <w:b/>
          <w:lang w:val="en-GB"/>
        </w:rPr>
        <w:t xml:space="preserve">CCPR art. 7, protection from </w:t>
      </w:r>
      <w:r w:rsidRPr="00010522">
        <w:rPr>
          <w:b/>
          <w:i/>
          <w:iCs/>
          <w:lang w:val="en-GB"/>
        </w:rPr>
        <w:t>“cruel, inhuman or degrading treatment”</w:t>
      </w:r>
      <w:r w:rsidRPr="00010522">
        <w:rPr>
          <w:b/>
          <w:lang w:val="en-GB"/>
        </w:rPr>
        <w:t xml:space="preserve"> and </w:t>
      </w:r>
      <w:r w:rsidRPr="00010522">
        <w:rPr>
          <w:b/>
          <w:i/>
          <w:iCs/>
          <w:lang w:val="en-GB"/>
        </w:rPr>
        <w:t>“non-consensual medical or scientific experimentation”</w:t>
      </w:r>
      <w:r w:rsidRPr="00010522">
        <w:rPr>
          <w:lang w:val="en-GB"/>
        </w:rPr>
        <w:t xml:space="preserve"> in currently </w:t>
      </w:r>
      <w:r w:rsidR="009F248F" w:rsidRPr="00010522">
        <w:rPr>
          <w:b/>
          <w:lang w:val="en-GB"/>
        </w:rPr>
        <w:t>12</w:t>
      </w:r>
      <w:r w:rsidRPr="00010522">
        <w:rPr>
          <w:b/>
          <w:lang w:val="en-GB"/>
        </w:rPr>
        <w:t xml:space="preserve"> Concluding Observations</w:t>
      </w:r>
      <w:r w:rsidRPr="00010522">
        <w:rPr>
          <w:lang w:val="en-GB"/>
        </w:rPr>
        <w:t>,</w:t>
      </w:r>
      <w:r w:rsidR="001730CA" w:rsidRPr="00010522">
        <w:rPr>
          <w:rStyle w:val="Funotenzeichen"/>
          <w:sz w:val="23"/>
          <w:szCs w:val="23"/>
          <w:lang w:val="en-GB"/>
        </w:rPr>
        <w:footnoteReference w:id="42"/>
      </w:r>
      <w:r w:rsidRPr="00010522">
        <w:rPr>
          <w:lang w:val="en-GB"/>
        </w:rPr>
        <w:t xml:space="preserve"> further invoking </w:t>
      </w:r>
      <w:r w:rsidRPr="00010522">
        <w:rPr>
          <w:b/>
          <w:lang w:val="en-GB"/>
        </w:rPr>
        <w:t>arts. 2 (non-discrimination, legal implementation, remedies and reparations), 3 (equal right of men and women), 9 (liberty and security of the person), 17 (privacy), 24 (child protection), and 26 (equal protection of the law)</w:t>
      </w:r>
      <w:r w:rsidRPr="00010522">
        <w:rPr>
          <w:lang w:val="en-GB"/>
        </w:rPr>
        <w:t>.</w:t>
      </w:r>
    </w:p>
    <w:p w:rsidR="00B367BF" w:rsidRPr="00B8514C" w:rsidRDefault="00830BA5" w:rsidP="00B8514C">
      <w:pPr>
        <w:pStyle w:val="Title2"/>
      </w:pPr>
      <w:bookmarkStart w:id="6" w:name="_Toc185616874"/>
      <w:r>
        <w:t>5</w:t>
      </w:r>
      <w:r w:rsidR="00B367BF" w:rsidRPr="00B8514C">
        <w:t xml:space="preserve">.  </w:t>
      </w:r>
      <w:r w:rsidR="003E2C7B" w:rsidRPr="00B8514C">
        <w:t>Minimum</w:t>
      </w:r>
      <w:r w:rsidR="00B367BF" w:rsidRPr="00B8514C">
        <w:t xml:space="preserve"> requirements</w:t>
      </w:r>
      <w:r w:rsidR="0097598E" w:rsidRPr="00B8514C">
        <w:t xml:space="preserve"> </w:t>
      </w:r>
      <w:r w:rsidR="001241CA" w:rsidRPr="00B8514C">
        <w:t xml:space="preserve">for </w:t>
      </w:r>
      <w:r w:rsidR="00010522">
        <w:t>protection against IGM</w:t>
      </w:r>
      <w:r w:rsidR="001241CA" w:rsidRPr="00B8514C">
        <w:t xml:space="preserve"> under international law</w:t>
      </w:r>
      <w:bookmarkEnd w:id="6"/>
    </w:p>
    <w:p w:rsidR="00B367BF" w:rsidRPr="00B8514C" w:rsidRDefault="00F73028" w:rsidP="00AB0F46">
      <w:pPr>
        <w:pStyle w:val="absatzschattenbericht"/>
        <w:rPr>
          <w:lang w:val="en-GB"/>
        </w:rPr>
      </w:pPr>
      <w:r w:rsidRPr="00B8514C">
        <w:rPr>
          <w:lang w:val="en-GB"/>
        </w:rPr>
        <w:t>The</w:t>
      </w:r>
      <w:r w:rsidR="00491044" w:rsidRPr="00B8514C">
        <w:rPr>
          <w:lang w:val="en-GB"/>
        </w:rPr>
        <w:t xml:space="preserve"> rel</w:t>
      </w:r>
      <w:r w:rsidR="00635F10" w:rsidRPr="00B8514C">
        <w:rPr>
          <w:lang w:val="en-GB"/>
        </w:rPr>
        <w:t>e</w:t>
      </w:r>
      <w:r w:rsidR="00491044" w:rsidRPr="00B8514C">
        <w:rPr>
          <w:lang w:val="en-GB"/>
        </w:rPr>
        <w:t>vant</w:t>
      </w:r>
      <w:r w:rsidR="00B367BF" w:rsidRPr="00B8514C">
        <w:rPr>
          <w:lang w:val="en-GB"/>
        </w:rPr>
        <w:t xml:space="preserve"> </w:t>
      </w:r>
      <w:r w:rsidR="00B367BF" w:rsidRPr="00B8514C">
        <w:rPr>
          <w:b/>
          <w:lang w:val="en-GB"/>
        </w:rPr>
        <w:t xml:space="preserve">UN </w:t>
      </w:r>
      <w:r w:rsidR="0025414B" w:rsidRPr="00B8514C">
        <w:rPr>
          <w:b/>
          <w:lang w:val="en-GB"/>
        </w:rPr>
        <w:t>C</w:t>
      </w:r>
      <w:r w:rsidR="00B367BF" w:rsidRPr="00B8514C">
        <w:rPr>
          <w:b/>
          <w:lang w:val="en-GB"/>
        </w:rPr>
        <w:t xml:space="preserve">onventions </w:t>
      </w:r>
      <w:r w:rsidR="00B367BF" w:rsidRPr="00B8514C">
        <w:rPr>
          <w:lang w:val="en-GB"/>
        </w:rPr>
        <w:t xml:space="preserve">and the </w:t>
      </w:r>
      <w:r w:rsidR="00B367BF" w:rsidRPr="00B8514C">
        <w:rPr>
          <w:b/>
          <w:lang w:val="en-GB"/>
        </w:rPr>
        <w:t>non-</w:t>
      </w:r>
      <w:proofErr w:type="spellStart"/>
      <w:r w:rsidR="00B367BF" w:rsidRPr="00B8514C">
        <w:rPr>
          <w:b/>
          <w:lang w:val="en-GB"/>
        </w:rPr>
        <w:t>derogable</w:t>
      </w:r>
      <w:proofErr w:type="spellEnd"/>
      <w:r w:rsidR="00B367BF" w:rsidRPr="00B8514C">
        <w:rPr>
          <w:b/>
          <w:lang w:val="en-GB"/>
        </w:rPr>
        <w:t xml:space="preserve"> human rights </w:t>
      </w:r>
      <w:r w:rsidR="00657069" w:rsidRPr="00B8514C">
        <w:rPr>
          <w:b/>
          <w:lang w:val="en-GB"/>
        </w:rPr>
        <w:t>(</w:t>
      </w:r>
      <w:proofErr w:type="spellStart"/>
      <w:r w:rsidR="00657069" w:rsidRPr="00B8514C">
        <w:rPr>
          <w:b/>
          <w:lang w:val="en-GB"/>
        </w:rPr>
        <w:t>ius</w:t>
      </w:r>
      <w:proofErr w:type="spellEnd"/>
      <w:r w:rsidR="00657069" w:rsidRPr="00B8514C">
        <w:rPr>
          <w:b/>
          <w:lang w:val="en-GB"/>
        </w:rPr>
        <w:t xml:space="preserve"> cogens)</w:t>
      </w:r>
      <w:r w:rsidR="00657069" w:rsidRPr="00B8514C">
        <w:rPr>
          <w:lang w:val="en-GB"/>
        </w:rPr>
        <w:t xml:space="preserve"> </w:t>
      </w:r>
      <w:r w:rsidRPr="00B8514C">
        <w:rPr>
          <w:lang w:val="en-GB"/>
        </w:rPr>
        <w:t>enshrined</w:t>
      </w:r>
      <w:r w:rsidR="00B367BF" w:rsidRPr="00B8514C">
        <w:rPr>
          <w:lang w:val="en-GB"/>
        </w:rPr>
        <w:t xml:space="preserve"> therein, in particular </w:t>
      </w:r>
      <w:r w:rsidR="00B367BF" w:rsidRPr="00B8514C">
        <w:rPr>
          <w:b/>
          <w:lang w:val="en-GB"/>
        </w:rPr>
        <w:t>CAT</w:t>
      </w:r>
      <w:r w:rsidR="00B367BF" w:rsidRPr="00B8514C">
        <w:rPr>
          <w:lang w:val="en-GB"/>
        </w:rPr>
        <w:t xml:space="preserve"> </w:t>
      </w:r>
      <w:r w:rsidR="00211C33" w:rsidRPr="00B8514C">
        <w:rPr>
          <w:lang w:val="en-GB"/>
        </w:rPr>
        <w:t>a</w:t>
      </w:r>
      <w:r w:rsidR="00B367BF" w:rsidRPr="00B8514C">
        <w:rPr>
          <w:lang w:val="en-GB"/>
        </w:rPr>
        <w:t>rt</w:t>
      </w:r>
      <w:r w:rsidR="0097598E" w:rsidRPr="00B8514C">
        <w:rPr>
          <w:lang w:val="en-GB"/>
        </w:rPr>
        <w:t>s</w:t>
      </w:r>
      <w:r w:rsidR="00B367BF" w:rsidRPr="00B8514C">
        <w:rPr>
          <w:lang w:val="en-GB"/>
        </w:rPr>
        <w:t>. 2 and 16 in conjunction with General Comment</w:t>
      </w:r>
      <w:r w:rsidR="000D4F05" w:rsidRPr="00B8514C">
        <w:rPr>
          <w:lang w:val="en-GB"/>
        </w:rPr>
        <w:t>s</w:t>
      </w:r>
      <w:r w:rsidR="00B367BF" w:rsidRPr="00B8514C">
        <w:rPr>
          <w:lang w:val="en-GB"/>
        </w:rPr>
        <w:t xml:space="preserve"> No. 2 (CAT/C/GC/2, para. 3</w:t>
      </w:r>
      <w:r w:rsidR="000D4F05" w:rsidRPr="00B8514C">
        <w:rPr>
          <w:lang w:val="en-GB"/>
        </w:rPr>
        <w:t xml:space="preserve">, </w:t>
      </w:r>
      <w:r w:rsidR="00B367BF" w:rsidRPr="00B8514C">
        <w:rPr>
          <w:lang w:val="en-GB"/>
        </w:rPr>
        <w:t>4</w:t>
      </w:r>
      <w:r w:rsidR="000D4F05" w:rsidRPr="00B8514C">
        <w:rPr>
          <w:lang w:val="en-GB"/>
        </w:rPr>
        <w:t>, 8</w:t>
      </w:r>
      <w:r w:rsidR="00B367BF" w:rsidRPr="00B8514C">
        <w:rPr>
          <w:lang w:val="en-GB"/>
        </w:rPr>
        <w:t xml:space="preserve">) and No. 3 (CAT/C/GC/3, para. 1), </w:t>
      </w:r>
      <w:r w:rsidR="00B367BF" w:rsidRPr="00B8514C">
        <w:rPr>
          <w:b/>
          <w:lang w:val="en-GB"/>
        </w:rPr>
        <w:t>CCPR</w:t>
      </w:r>
      <w:r w:rsidR="00B367BF" w:rsidRPr="00B8514C">
        <w:rPr>
          <w:lang w:val="en-GB"/>
        </w:rPr>
        <w:t xml:space="preserve"> </w:t>
      </w:r>
      <w:r w:rsidR="00211C33" w:rsidRPr="00B8514C">
        <w:rPr>
          <w:lang w:val="en-GB"/>
        </w:rPr>
        <w:t>a</w:t>
      </w:r>
      <w:r w:rsidR="00B367BF" w:rsidRPr="00B8514C">
        <w:rPr>
          <w:lang w:val="en-GB"/>
        </w:rPr>
        <w:t>rt</w:t>
      </w:r>
      <w:r w:rsidR="0097598E" w:rsidRPr="00B8514C">
        <w:rPr>
          <w:lang w:val="en-GB"/>
        </w:rPr>
        <w:t>s</w:t>
      </w:r>
      <w:r w:rsidR="00B367BF" w:rsidRPr="00B8514C">
        <w:rPr>
          <w:lang w:val="en-GB"/>
        </w:rPr>
        <w:t xml:space="preserve">. </w:t>
      </w:r>
      <w:r w:rsidR="00657069" w:rsidRPr="00B8514C">
        <w:rPr>
          <w:lang w:val="en-GB"/>
        </w:rPr>
        <w:t xml:space="preserve">2, </w:t>
      </w:r>
      <w:r w:rsidR="00B367BF" w:rsidRPr="00B8514C">
        <w:rPr>
          <w:lang w:val="en-GB"/>
        </w:rPr>
        <w:t xml:space="preserve">7 </w:t>
      </w:r>
      <w:r w:rsidR="00657069" w:rsidRPr="00B8514C">
        <w:rPr>
          <w:lang w:val="en-GB"/>
        </w:rPr>
        <w:t xml:space="preserve">and 26 </w:t>
      </w:r>
      <w:r w:rsidR="00B367BF" w:rsidRPr="00B8514C">
        <w:rPr>
          <w:lang w:val="en-GB"/>
        </w:rPr>
        <w:t>in conjunction with General Comment</w:t>
      </w:r>
      <w:r w:rsidR="00B63F28" w:rsidRPr="00B8514C">
        <w:rPr>
          <w:lang w:val="en-GB"/>
        </w:rPr>
        <w:t>s</w:t>
      </w:r>
      <w:r w:rsidR="00B367BF" w:rsidRPr="00B8514C">
        <w:rPr>
          <w:lang w:val="en-GB"/>
        </w:rPr>
        <w:t xml:space="preserve"> No. 20 (HRI/GEN/1/Rev.9 (Vol. I), </w:t>
      </w:r>
      <w:r w:rsidR="00773938" w:rsidRPr="00B8514C">
        <w:rPr>
          <w:lang w:val="en-GB"/>
        </w:rPr>
        <w:t>para</w:t>
      </w:r>
      <w:r w:rsidR="00B367BF" w:rsidRPr="00B8514C">
        <w:rPr>
          <w:lang w:val="en-GB"/>
        </w:rPr>
        <w:t>. 2, 8, 14, 15)</w:t>
      </w:r>
      <w:r w:rsidR="00B63F28" w:rsidRPr="00B8514C">
        <w:rPr>
          <w:lang w:val="en-GB"/>
        </w:rPr>
        <w:t xml:space="preserve"> and No. 31 (CCPR/C/21/Rev.1/Add.13, para. 8</w:t>
      </w:r>
      <w:r w:rsidR="0082447D" w:rsidRPr="00B8514C">
        <w:rPr>
          <w:lang w:val="en-GB"/>
        </w:rPr>
        <w:t>, 16</w:t>
      </w:r>
      <w:r w:rsidR="00491044" w:rsidRPr="00B8514C">
        <w:rPr>
          <w:lang w:val="en-GB"/>
        </w:rPr>
        <w:t>)</w:t>
      </w:r>
      <w:r w:rsidR="00B367BF" w:rsidRPr="00B8514C">
        <w:rPr>
          <w:lang w:val="en-GB"/>
        </w:rPr>
        <w:t xml:space="preserve">, and </w:t>
      </w:r>
      <w:r w:rsidR="00B367BF" w:rsidRPr="00B8514C">
        <w:rPr>
          <w:b/>
          <w:lang w:val="en-GB"/>
        </w:rPr>
        <w:t>CRC</w:t>
      </w:r>
      <w:r w:rsidR="00B367BF" w:rsidRPr="00B8514C">
        <w:rPr>
          <w:lang w:val="en-GB"/>
        </w:rPr>
        <w:t xml:space="preserve"> art. 24(3)</w:t>
      </w:r>
      <w:r w:rsidR="003350A3" w:rsidRPr="00B8514C">
        <w:rPr>
          <w:lang w:val="en-GB"/>
        </w:rPr>
        <w:t xml:space="preserve"> and </w:t>
      </w:r>
      <w:r w:rsidR="003350A3" w:rsidRPr="00B8514C">
        <w:rPr>
          <w:b/>
          <w:lang w:val="en-GB"/>
        </w:rPr>
        <w:t>CEDAW</w:t>
      </w:r>
      <w:r w:rsidR="003350A3" w:rsidRPr="00B8514C">
        <w:rPr>
          <w:lang w:val="en-GB"/>
        </w:rPr>
        <w:t xml:space="preserve"> art. 5</w:t>
      </w:r>
      <w:r w:rsidR="00B367BF" w:rsidRPr="00B8514C">
        <w:rPr>
          <w:lang w:val="en-GB"/>
        </w:rPr>
        <w:t xml:space="preserve"> in conjunction with </w:t>
      </w:r>
      <w:r w:rsidR="00170A19" w:rsidRPr="00B8514C">
        <w:rPr>
          <w:lang w:val="en-GB"/>
        </w:rPr>
        <w:t>CRC-CEDAW Joint General Comment/Recommendation No. 18/31</w:t>
      </w:r>
      <w:r w:rsidR="00B367BF" w:rsidRPr="00B8514C">
        <w:rPr>
          <w:lang w:val="en-GB"/>
        </w:rPr>
        <w:t xml:space="preserve"> (</w:t>
      </w:r>
      <w:r w:rsidR="00360E64" w:rsidRPr="00B8514C">
        <w:rPr>
          <w:lang w:val="en-GB"/>
        </w:rPr>
        <w:t xml:space="preserve">CRC/C/GC/18/Rev.1 – </w:t>
      </w:r>
      <w:r w:rsidR="00B367BF" w:rsidRPr="00B8514C">
        <w:rPr>
          <w:lang w:val="en-GB"/>
        </w:rPr>
        <w:t xml:space="preserve">CEDAW/C/GC/31/Rev.1, </w:t>
      </w:r>
      <w:r w:rsidR="00773938" w:rsidRPr="00B8514C">
        <w:rPr>
          <w:lang w:val="en-GB"/>
        </w:rPr>
        <w:t>para</w:t>
      </w:r>
      <w:r w:rsidR="00B367BF" w:rsidRPr="00B8514C">
        <w:rPr>
          <w:lang w:val="en-GB"/>
        </w:rPr>
        <w:t xml:space="preserve">. 2, 13, 31-36, 37-39, 40-55, especially </w:t>
      </w:r>
      <w:r w:rsidR="00773938" w:rsidRPr="00B8514C">
        <w:rPr>
          <w:lang w:val="en-GB"/>
        </w:rPr>
        <w:t>para.</w:t>
      </w:r>
      <w:r w:rsidR="00B367BF" w:rsidRPr="00B8514C">
        <w:rPr>
          <w:lang w:val="en-GB"/>
        </w:rPr>
        <w:t xml:space="preserve"> 50, 55(d), 55(n), 55(o), 55(q)) and </w:t>
      </w:r>
      <w:r w:rsidR="00B367BF" w:rsidRPr="00B8514C">
        <w:rPr>
          <w:b/>
          <w:lang w:val="en-GB"/>
        </w:rPr>
        <w:t>CRPD</w:t>
      </w:r>
      <w:r w:rsidR="00B367BF" w:rsidRPr="00B8514C">
        <w:rPr>
          <w:lang w:val="en-GB"/>
        </w:rPr>
        <w:t xml:space="preserve"> </w:t>
      </w:r>
      <w:r w:rsidR="00A96A19" w:rsidRPr="00B8514C">
        <w:rPr>
          <w:lang w:val="en-GB"/>
        </w:rPr>
        <w:t>a</w:t>
      </w:r>
      <w:r w:rsidR="00B367BF" w:rsidRPr="00B8514C">
        <w:rPr>
          <w:lang w:val="en-GB"/>
        </w:rPr>
        <w:t xml:space="preserve">rt. 17 in conjunction with General Comment No. 3 (CRPD/C/GC/3, para. 32), </w:t>
      </w:r>
      <w:r w:rsidRPr="00B8514C">
        <w:rPr>
          <w:lang w:val="en-GB"/>
        </w:rPr>
        <w:t xml:space="preserve">stipulate </w:t>
      </w:r>
      <w:r w:rsidR="00B367BF" w:rsidRPr="00B8514C">
        <w:rPr>
          <w:lang w:val="en-GB"/>
        </w:rPr>
        <w:t xml:space="preserve">the following </w:t>
      </w:r>
      <w:r w:rsidR="00B367BF" w:rsidRPr="00B8514C">
        <w:rPr>
          <w:b/>
          <w:lang w:val="en-GB"/>
        </w:rPr>
        <w:t>minim</w:t>
      </w:r>
      <w:r w:rsidR="00EB0333" w:rsidRPr="00B8514C">
        <w:rPr>
          <w:b/>
          <w:lang w:val="en-GB"/>
        </w:rPr>
        <w:t>um</w:t>
      </w:r>
      <w:r w:rsidR="00B367BF" w:rsidRPr="00B8514C">
        <w:rPr>
          <w:b/>
          <w:lang w:val="en-GB"/>
        </w:rPr>
        <w:t xml:space="preserve"> requirements for effective protection of intersex </w:t>
      </w:r>
      <w:r w:rsidR="00EB0333" w:rsidRPr="00B8514C">
        <w:rPr>
          <w:b/>
          <w:lang w:val="en-GB"/>
        </w:rPr>
        <w:t>persons</w:t>
      </w:r>
      <w:r w:rsidR="00B367BF" w:rsidRPr="00B8514C">
        <w:rPr>
          <w:lang w:val="en-GB"/>
        </w:rPr>
        <w:t>:</w:t>
      </w:r>
    </w:p>
    <w:p w:rsidR="000D4F05" w:rsidRPr="00B8514C" w:rsidRDefault="000D4F05" w:rsidP="00AB0F46">
      <w:pPr>
        <w:pStyle w:val="absatzschattenbericht"/>
        <w:numPr>
          <w:ilvl w:val="0"/>
          <w:numId w:val="25"/>
        </w:numPr>
        <w:rPr>
          <w:lang w:val="en-GB"/>
        </w:rPr>
      </w:pPr>
      <w:r w:rsidRPr="00B8514C">
        <w:rPr>
          <w:lang w:val="en-GB"/>
        </w:rPr>
        <w:t>Prohibition under criminal law</w:t>
      </w:r>
    </w:p>
    <w:p w:rsidR="00B367BF" w:rsidRPr="00B8514C" w:rsidRDefault="00A07DA0" w:rsidP="00AB0F46">
      <w:pPr>
        <w:pStyle w:val="absatzschattenbericht"/>
        <w:numPr>
          <w:ilvl w:val="0"/>
          <w:numId w:val="25"/>
        </w:numPr>
        <w:rPr>
          <w:lang w:val="en-GB"/>
        </w:rPr>
      </w:pPr>
      <w:r w:rsidRPr="00B8514C">
        <w:rPr>
          <w:lang w:val="en-GB"/>
        </w:rPr>
        <w:t>Effective</w:t>
      </w:r>
      <w:r w:rsidR="00B367BF" w:rsidRPr="00B8514C">
        <w:rPr>
          <w:lang w:val="en-GB"/>
        </w:rPr>
        <w:t xml:space="preserve"> </w:t>
      </w:r>
      <w:r w:rsidR="0093392D" w:rsidRPr="00B8514C">
        <w:rPr>
          <w:lang w:val="en-GB"/>
        </w:rPr>
        <w:t xml:space="preserve">and timely </w:t>
      </w:r>
      <w:r w:rsidR="00B367BF" w:rsidRPr="00B8514C">
        <w:rPr>
          <w:lang w:val="en-GB"/>
        </w:rPr>
        <w:t>access to justice</w:t>
      </w:r>
      <w:r w:rsidR="006A778C" w:rsidRPr="00B8514C">
        <w:rPr>
          <w:lang w:val="en-GB"/>
        </w:rPr>
        <w:t>, redress, compensation</w:t>
      </w:r>
      <w:r w:rsidR="008C3BC4" w:rsidRPr="00B8514C">
        <w:rPr>
          <w:lang w:val="en-GB"/>
        </w:rPr>
        <w:t>, reparation</w:t>
      </w:r>
      <w:r w:rsidR="006A778C" w:rsidRPr="00B8514C">
        <w:rPr>
          <w:lang w:val="en-GB"/>
        </w:rPr>
        <w:t xml:space="preserve"> and rehabilitation</w:t>
      </w:r>
      <w:r w:rsidR="00B367BF" w:rsidRPr="00B8514C">
        <w:rPr>
          <w:lang w:val="en-GB"/>
        </w:rPr>
        <w:t xml:space="preserve"> for victims </w:t>
      </w:r>
    </w:p>
    <w:p w:rsidR="00B367BF" w:rsidRPr="00B8514C" w:rsidRDefault="00B367BF" w:rsidP="00AB0F46">
      <w:pPr>
        <w:pStyle w:val="absatzschattenbericht"/>
        <w:numPr>
          <w:ilvl w:val="0"/>
          <w:numId w:val="25"/>
        </w:numPr>
        <w:rPr>
          <w:lang w:val="en-GB"/>
        </w:rPr>
      </w:pPr>
      <w:r w:rsidRPr="00B8514C">
        <w:rPr>
          <w:lang w:val="en-GB"/>
        </w:rPr>
        <w:t>Abolition of statutes of limitation</w:t>
      </w:r>
      <w:r w:rsidR="0093392D" w:rsidRPr="00B8514C">
        <w:rPr>
          <w:lang w:val="en-GB"/>
        </w:rPr>
        <w:t>s</w:t>
      </w:r>
      <w:r w:rsidR="008C3BC4" w:rsidRPr="00B8514C">
        <w:rPr>
          <w:lang w:val="en-GB"/>
        </w:rPr>
        <w:t xml:space="preserve"> (or appropriate extension or suspension)</w:t>
      </w:r>
    </w:p>
    <w:p w:rsidR="00B367BF" w:rsidRPr="00B8514C" w:rsidRDefault="00B367BF" w:rsidP="00AB0F46">
      <w:pPr>
        <w:pStyle w:val="absatzschattenbericht"/>
        <w:numPr>
          <w:ilvl w:val="0"/>
          <w:numId w:val="25"/>
        </w:numPr>
        <w:rPr>
          <w:lang w:val="en-GB"/>
        </w:rPr>
      </w:pPr>
      <w:r w:rsidRPr="00B8514C">
        <w:rPr>
          <w:lang w:val="en-GB"/>
        </w:rPr>
        <w:t xml:space="preserve">Combat impunity, </w:t>
      </w:r>
      <w:r w:rsidR="00B2348B" w:rsidRPr="00B8514C">
        <w:rPr>
          <w:lang w:val="en-GB"/>
        </w:rPr>
        <w:t xml:space="preserve">ensure </w:t>
      </w:r>
      <w:r w:rsidRPr="00B8514C">
        <w:rPr>
          <w:lang w:val="en-GB"/>
        </w:rPr>
        <w:t>prosecution and punishment of perpetrators</w:t>
      </w:r>
    </w:p>
    <w:p w:rsidR="0093392D" w:rsidRPr="00B8514C" w:rsidRDefault="0093392D" w:rsidP="00AB0F46">
      <w:pPr>
        <w:pStyle w:val="absatzschattenbericht"/>
        <w:numPr>
          <w:ilvl w:val="0"/>
          <w:numId w:val="25"/>
        </w:numPr>
        <w:rPr>
          <w:lang w:val="en-GB"/>
        </w:rPr>
      </w:pPr>
      <w:r w:rsidRPr="00B8514C">
        <w:rPr>
          <w:lang w:val="en-GB"/>
        </w:rPr>
        <w:t>Aggravating circumstance if</w:t>
      </w:r>
      <w:r w:rsidR="00B367BF" w:rsidRPr="00B8514C">
        <w:rPr>
          <w:lang w:val="en-GB"/>
        </w:rPr>
        <w:t xml:space="preserve"> </w:t>
      </w:r>
      <w:r w:rsidRPr="00B8514C">
        <w:rPr>
          <w:lang w:val="en-GB"/>
        </w:rPr>
        <w:t>medical professionals or government employees or civil servants are involved or complicit</w:t>
      </w:r>
    </w:p>
    <w:p w:rsidR="00B367BF" w:rsidRPr="00B8514C" w:rsidRDefault="00B367BF" w:rsidP="00AB0F46">
      <w:pPr>
        <w:pStyle w:val="absatzschattenbericht"/>
        <w:numPr>
          <w:ilvl w:val="0"/>
          <w:numId w:val="25"/>
        </w:numPr>
        <w:rPr>
          <w:lang w:val="en-GB"/>
        </w:rPr>
      </w:pPr>
      <w:r w:rsidRPr="00B8514C">
        <w:rPr>
          <w:lang w:val="en-GB"/>
        </w:rPr>
        <w:t>Monitoring and collection of disaggregated data on violations and prosecutions</w:t>
      </w:r>
    </w:p>
    <w:p w:rsidR="00B367BF" w:rsidRPr="00B8514C" w:rsidRDefault="00B367BF" w:rsidP="00AB0F46">
      <w:pPr>
        <w:pStyle w:val="absatzschattenbericht"/>
        <w:numPr>
          <w:ilvl w:val="0"/>
          <w:numId w:val="25"/>
        </w:numPr>
        <w:rPr>
          <w:lang w:val="en-GB"/>
        </w:rPr>
      </w:pPr>
      <w:r w:rsidRPr="00B8514C">
        <w:rPr>
          <w:lang w:val="en-GB"/>
        </w:rPr>
        <w:t>Protection against extraterritorial violations</w:t>
      </w:r>
    </w:p>
    <w:p w:rsidR="00B367BF" w:rsidRPr="00B8514C" w:rsidRDefault="00B367BF" w:rsidP="00AB0F46">
      <w:pPr>
        <w:pStyle w:val="absatzschattenbericht"/>
        <w:numPr>
          <w:ilvl w:val="0"/>
          <w:numId w:val="25"/>
        </w:numPr>
        <w:rPr>
          <w:lang w:val="en-GB"/>
        </w:rPr>
      </w:pPr>
      <w:r w:rsidRPr="00B8514C">
        <w:rPr>
          <w:lang w:val="en-GB"/>
        </w:rPr>
        <w:t xml:space="preserve">Adequate </w:t>
      </w:r>
      <w:r w:rsidR="00174F35" w:rsidRPr="00B8514C">
        <w:rPr>
          <w:lang w:val="en-GB"/>
        </w:rPr>
        <w:t xml:space="preserve">victim </w:t>
      </w:r>
      <w:r w:rsidRPr="00B8514C">
        <w:rPr>
          <w:lang w:val="en-GB"/>
        </w:rPr>
        <w:t xml:space="preserve">participation in the </w:t>
      </w:r>
      <w:r w:rsidR="00174F35" w:rsidRPr="00B8514C">
        <w:rPr>
          <w:lang w:val="en-GB"/>
        </w:rPr>
        <w:t>redress</w:t>
      </w:r>
      <w:r w:rsidRPr="00B8514C">
        <w:rPr>
          <w:lang w:val="en-GB"/>
        </w:rPr>
        <w:t xml:space="preserve"> process</w:t>
      </w:r>
    </w:p>
    <w:p w:rsidR="0058006E" w:rsidRPr="00B8514C" w:rsidRDefault="00B367BF" w:rsidP="0058006E">
      <w:pPr>
        <w:pStyle w:val="absatzschattenbericht"/>
        <w:numPr>
          <w:ilvl w:val="0"/>
          <w:numId w:val="25"/>
        </w:numPr>
        <w:rPr>
          <w:lang w:val="en-GB"/>
        </w:rPr>
      </w:pPr>
      <w:r w:rsidRPr="00B8514C">
        <w:rPr>
          <w:lang w:val="en-GB"/>
        </w:rPr>
        <w:t xml:space="preserve">Restoration of the dignity of </w:t>
      </w:r>
      <w:r w:rsidR="0093392D" w:rsidRPr="00B8514C">
        <w:rPr>
          <w:lang w:val="en-GB"/>
        </w:rPr>
        <w:t>the victim</w:t>
      </w:r>
    </w:p>
    <w:p w:rsidR="00AC1A3E" w:rsidRDefault="00AC1A3E">
      <w:pPr>
        <w:rPr>
          <w:rFonts w:eastAsia="Baskerville" w:cs="Baskerville"/>
          <w:color w:val="000000"/>
          <w:spacing w:val="2"/>
          <w:kern w:val="1"/>
          <w:lang w:val="en-GB" w:bidi="hi-IN"/>
        </w:rPr>
      </w:pPr>
      <w:r>
        <w:rPr>
          <w:lang w:val="en-GB"/>
        </w:rPr>
        <w:br w:type="page"/>
      </w:r>
    </w:p>
    <w:p w:rsidR="000B4591" w:rsidRPr="00B8514C" w:rsidRDefault="00B049A2" w:rsidP="000B4591">
      <w:pPr>
        <w:pStyle w:val="absatzschattenbericht"/>
        <w:rPr>
          <w:lang w:val="en-GB"/>
        </w:rPr>
      </w:pPr>
      <w:r w:rsidRPr="00B8514C">
        <w:rPr>
          <w:lang w:val="en-GB"/>
        </w:rPr>
        <w:lastRenderedPageBreak/>
        <w:t>Accordingly, Treaty bodies have issued</w:t>
      </w:r>
      <w:r w:rsidR="0079283A">
        <w:rPr>
          <w:lang w:val="en-GB"/>
        </w:rPr>
        <w:t xml:space="preserve"> so far</w:t>
      </w:r>
      <w:r w:rsidRPr="00B8514C">
        <w:rPr>
          <w:lang w:val="en-GB"/>
        </w:rPr>
        <w:t>:</w:t>
      </w:r>
    </w:p>
    <w:p w:rsidR="00B049A2" w:rsidRPr="00B8514C" w:rsidRDefault="00B049A2" w:rsidP="0073327D">
      <w:pPr>
        <w:pStyle w:val="absatzschattenbericht"/>
        <w:numPr>
          <w:ilvl w:val="0"/>
          <w:numId w:val="26"/>
        </w:numPr>
        <w:spacing w:after="100"/>
        <w:ind w:left="714" w:hanging="357"/>
        <w:rPr>
          <w:lang w:val="en-GB"/>
        </w:rPr>
      </w:pPr>
      <w:r w:rsidRPr="00B8514C">
        <w:rPr>
          <w:lang w:val="en-GB"/>
        </w:rPr>
        <w:t>3</w:t>
      </w:r>
      <w:r w:rsidR="00000CFC">
        <w:rPr>
          <w:lang w:val="en-GB"/>
        </w:rPr>
        <w:t>2</w:t>
      </w:r>
      <w:r w:rsidRPr="00B8514C">
        <w:rPr>
          <w:lang w:val="en-GB"/>
        </w:rPr>
        <w:t xml:space="preserve"> Concluding Observations calling to </w:t>
      </w:r>
      <w:r w:rsidRPr="00B8514C">
        <w:rPr>
          <w:b/>
          <w:bCs/>
          <w:i/>
          <w:iCs/>
          <w:lang w:val="en-GB"/>
        </w:rPr>
        <w:t>“prohibit”</w:t>
      </w:r>
      <w:r w:rsidRPr="00B8514C">
        <w:rPr>
          <w:lang w:val="en-GB"/>
        </w:rPr>
        <w:t xml:space="preserve"> IGM practices</w:t>
      </w:r>
      <w:r w:rsidRPr="00B8514C">
        <w:rPr>
          <w:rStyle w:val="Funotenzeichen"/>
          <w:sz w:val="23"/>
          <w:szCs w:val="23"/>
          <w:lang w:val="en-GB"/>
        </w:rPr>
        <w:footnoteReference w:id="43"/>
      </w:r>
    </w:p>
    <w:p w:rsidR="00B049A2" w:rsidRPr="00B8514C" w:rsidRDefault="00713CA7" w:rsidP="0073327D">
      <w:pPr>
        <w:pStyle w:val="absatzschattenbericht"/>
        <w:numPr>
          <w:ilvl w:val="0"/>
          <w:numId w:val="26"/>
        </w:numPr>
        <w:spacing w:after="100"/>
        <w:ind w:left="714" w:hanging="357"/>
        <w:rPr>
          <w:lang w:val="en-GB"/>
        </w:rPr>
      </w:pPr>
      <w:r w:rsidRPr="00B8514C">
        <w:rPr>
          <w:lang w:val="en-GB"/>
        </w:rPr>
        <w:t xml:space="preserve">4 Concluding Observations calling to </w:t>
      </w:r>
      <w:r w:rsidRPr="00B8514C">
        <w:rPr>
          <w:b/>
          <w:bCs/>
          <w:i/>
          <w:iCs/>
          <w:lang w:val="en-GB"/>
        </w:rPr>
        <w:t>“criminalize”</w:t>
      </w:r>
      <w:r w:rsidRPr="00B8514C">
        <w:rPr>
          <w:lang w:val="en-GB"/>
        </w:rPr>
        <w:t xml:space="preserve"> IGM practices</w:t>
      </w:r>
      <w:r w:rsidR="00B049A2" w:rsidRPr="00B8514C">
        <w:rPr>
          <w:rStyle w:val="Funotenzeichen"/>
          <w:sz w:val="23"/>
          <w:szCs w:val="23"/>
          <w:lang w:val="en-GB"/>
        </w:rPr>
        <w:footnoteReference w:id="44"/>
      </w:r>
    </w:p>
    <w:p w:rsidR="006D0B7A" w:rsidRPr="00B8514C" w:rsidRDefault="006D0B7A" w:rsidP="0073327D">
      <w:pPr>
        <w:pStyle w:val="absatzschattenbericht"/>
        <w:numPr>
          <w:ilvl w:val="0"/>
          <w:numId w:val="26"/>
        </w:numPr>
        <w:spacing w:after="100"/>
        <w:ind w:left="714" w:hanging="357"/>
        <w:rPr>
          <w:lang w:val="en-GB"/>
        </w:rPr>
      </w:pPr>
      <w:r w:rsidRPr="00B8514C">
        <w:rPr>
          <w:lang w:val="en-GB"/>
        </w:rPr>
        <w:t xml:space="preserve">6 Concluding Observations calling to provide </w:t>
      </w:r>
      <w:r w:rsidRPr="00B8514C">
        <w:rPr>
          <w:b/>
          <w:bCs/>
          <w:i/>
          <w:iCs/>
          <w:lang w:val="en-GB"/>
        </w:rPr>
        <w:t>“access to justice”</w:t>
      </w:r>
      <w:r w:rsidRPr="00B8514C">
        <w:rPr>
          <w:lang w:val="en-GB"/>
        </w:rPr>
        <w:t xml:space="preserve"> to victims of IGM practices</w:t>
      </w:r>
      <w:r w:rsidRPr="00B8514C">
        <w:rPr>
          <w:rStyle w:val="Funotenzeichen"/>
          <w:sz w:val="23"/>
          <w:szCs w:val="23"/>
          <w:lang w:val="en-GB"/>
        </w:rPr>
        <w:footnoteReference w:id="45"/>
      </w:r>
    </w:p>
    <w:p w:rsidR="00B049A2" w:rsidRPr="00B8514C" w:rsidRDefault="00713CA7" w:rsidP="0073327D">
      <w:pPr>
        <w:pStyle w:val="absatzschattenbericht"/>
        <w:numPr>
          <w:ilvl w:val="0"/>
          <w:numId w:val="26"/>
        </w:numPr>
        <w:spacing w:after="100"/>
        <w:ind w:left="714" w:hanging="357"/>
        <w:rPr>
          <w:lang w:val="en-GB"/>
        </w:rPr>
      </w:pPr>
      <w:r w:rsidRPr="00B8514C">
        <w:rPr>
          <w:lang w:val="en-GB"/>
        </w:rPr>
        <w:t xml:space="preserve">9 Concluding Observations calling to </w:t>
      </w:r>
      <w:r w:rsidRPr="00B8514C">
        <w:rPr>
          <w:b/>
          <w:bCs/>
          <w:i/>
          <w:iCs/>
          <w:lang w:val="en-GB"/>
        </w:rPr>
        <w:t>“adopt legal provisions to provide redress to victims”</w:t>
      </w:r>
      <w:r w:rsidRPr="00B8514C">
        <w:rPr>
          <w:lang w:val="en-GB"/>
        </w:rPr>
        <w:t xml:space="preserve"> of IGM practices</w:t>
      </w:r>
      <w:r w:rsidR="00B049A2" w:rsidRPr="00B8514C">
        <w:rPr>
          <w:rStyle w:val="Funotenzeichen"/>
          <w:sz w:val="23"/>
          <w:szCs w:val="23"/>
          <w:lang w:val="en-GB"/>
        </w:rPr>
        <w:footnoteReference w:id="46"/>
      </w:r>
    </w:p>
    <w:p w:rsidR="00B049A2" w:rsidRPr="00B8514C" w:rsidRDefault="006D0B7A" w:rsidP="0073327D">
      <w:pPr>
        <w:pStyle w:val="absatzschattenbericht"/>
        <w:numPr>
          <w:ilvl w:val="0"/>
          <w:numId w:val="26"/>
        </w:numPr>
        <w:spacing w:after="100"/>
        <w:ind w:left="714" w:hanging="357"/>
        <w:rPr>
          <w:lang w:val="en-GB"/>
        </w:rPr>
      </w:pPr>
      <w:r w:rsidRPr="00B8514C">
        <w:rPr>
          <w:lang w:val="en-GB"/>
        </w:rPr>
        <w:t>3</w:t>
      </w:r>
      <w:r w:rsidR="000E0A0F">
        <w:rPr>
          <w:lang w:val="en-GB"/>
        </w:rPr>
        <w:t>3</w:t>
      </w:r>
      <w:r w:rsidRPr="00B8514C">
        <w:rPr>
          <w:lang w:val="en-GB"/>
        </w:rPr>
        <w:t xml:space="preserve"> Concluding Observations calling to </w:t>
      </w:r>
      <w:r w:rsidRPr="00B8514C">
        <w:rPr>
          <w:b/>
          <w:bCs/>
          <w:i/>
          <w:iCs/>
          <w:lang w:val="en-GB"/>
        </w:rPr>
        <w:t>“provide redress to victims”</w:t>
      </w:r>
      <w:r w:rsidRPr="00B8514C">
        <w:rPr>
          <w:lang w:val="en-GB"/>
        </w:rPr>
        <w:t xml:space="preserve"> of IGM practices</w:t>
      </w:r>
      <w:r w:rsidR="00B049A2" w:rsidRPr="00B8514C">
        <w:rPr>
          <w:rStyle w:val="Funotenzeichen"/>
          <w:sz w:val="23"/>
          <w:szCs w:val="23"/>
          <w:lang w:val="en-GB"/>
        </w:rPr>
        <w:footnoteReference w:id="47"/>
      </w:r>
    </w:p>
    <w:p w:rsidR="00B049A2" w:rsidRPr="00B8514C" w:rsidRDefault="00AC3959" w:rsidP="0073327D">
      <w:pPr>
        <w:pStyle w:val="absatzschattenbericht"/>
        <w:numPr>
          <w:ilvl w:val="0"/>
          <w:numId w:val="26"/>
        </w:numPr>
        <w:spacing w:after="100"/>
        <w:ind w:left="714" w:hanging="357"/>
        <w:rPr>
          <w:lang w:val="en-GB"/>
        </w:rPr>
      </w:pPr>
      <w:r>
        <w:rPr>
          <w:lang w:val="en-GB"/>
        </w:rPr>
        <w:t>24</w:t>
      </w:r>
      <w:r w:rsidR="006D0B7A" w:rsidRPr="00B8514C">
        <w:rPr>
          <w:lang w:val="en-GB"/>
        </w:rPr>
        <w:t xml:space="preserve"> Concluding Observations calling to</w:t>
      </w:r>
      <w:r w:rsidR="00F56AC2" w:rsidRPr="00B8514C">
        <w:rPr>
          <w:lang w:val="en-GB"/>
        </w:rPr>
        <w:t xml:space="preserve"> provide</w:t>
      </w:r>
      <w:r w:rsidR="006D0B7A" w:rsidRPr="00B8514C">
        <w:rPr>
          <w:lang w:val="en-GB"/>
        </w:rPr>
        <w:t xml:space="preserve"> </w:t>
      </w:r>
      <w:r w:rsidR="006D0B7A" w:rsidRPr="00B8514C">
        <w:rPr>
          <w:b/>
          <w:bCs/>
          <w:i/>
          <w:iCs/>
          <w:lang w:val="en-GB"/>
        </w:rPr>
        <w:t>“</w:t>
      </w:r>
      <w:r w:rsidR="00F56AC2" w:rsidRPr="00B8514C">
        <w:rPr>
          <w:b/>
          <w:bCs/>
          <w:i/>
          <w:iCs/>
          <w:lang w:val="en-GB"/>
        </w:rPr>
        <w:t>compensation</w:t>
      </w:r>
      <w:r w:rsidR="006D0B7A" w:rsidRPr="00B8514C">
        <w:rPr>
          <w:b/>
          <w:bCs/>
          <w:i/>
          <w:iCs/>
          <w:lang w:val="en-GB"/>
        </w:rPr>
        <w:t>”</w:t>
      </w:r>
      <w:r w:rsidR="006D0B7A" w:rsidRPr="00B8514C">
        <w:rPr>
          <w:lang w:val="en-GB"/>
        </w:rPr>
        <w:t xml:space="preserve"> </w:t>
      </w:r>
      <w:r w:rsidR="00F56AC2" w:rsidRPr="00B8514C">
        <w:rPr>
          <w:lang w:val="en-GB"/>
        </w:rPr>
        <w:t xml:space="preserve">to victims </w:t>
      </w:r>
      <w:r w:rsidR="006D0B7A" w:rsidRPr="00B8514C">
        <w:rPr>
          <w:lang w:val="en-GB"/>
        </w:rPr>
        <w:t>of IGM practices</w:t>
      </w:r>
      <w:r w:rsidR="00B049A2" w:rsidRPr="00B8514C">
        <w:rPr>
          <w:rStyle w:val="Funotenzeichen"/>
          <w:sz w:val="23"/>
          <w:szCs w:val="23"/>
          <w:lang w:val="en-GB"/>
        </w:rPr>
        <w:footnoteReference w:id="48"/>
      </w:r>
    </w:p>
    <w:p w:rsidR="00B049A2" w:rsidRPr="00B8514C" w:rsidRDefault="00F56AC2" w:rsidP="0073327D">
      <w:pPr>
        <w:pStyle w:val="absatzschattenbericht"/>
        <w:numPr>
          <w:ilvl w:val="0"/>
          <w:numId w:val="26"/>
        </w:numPr>
        <w:spacing w:after="100"/>
        <w:ind w:left="714" w:hanging="357"/>
        <w:rPr>
          <w:lang w:val="en-GB"/>
        </w:rPr>
      </w:pPr>
      <w:r w:rsidRPr="00B8514C">
        <w:rPr>
          <w:lang w:val="en-GB"/>
        </w:rPr>
        <w:t xml:space="preserve">14 Concluding Observations calling to provide </w:t>
      </w:r>
      <w:r w:rsidRPr="00B8514C">
        <w:rPr>
          <w:b/>
          <w:bCs/>
          <w:i/>
          <w:iCs/>
          <w:lang w:val="en-GB"/>
        </w:rPr>
        <w:t>“reparation”</w:t>
      </w:r>
      <w:r w:rsidRPr="00B8514C">
        <w:rPr>
          <w:lang w:val="en-GB"/>
        </w:rPr>
        <w:t xml:space="preserve"> to victims of IGM practices</w:t>
      </w:r>
      <w:r w:rsidR="00B049A2" w:rsidRPr="00B8514C">
        <w:rPr>
          <w:rStyle w:val="Funotenzeichen"/>
          <w:sz w:val="23"/>
          <w:szCs w:val="23"/>
          <w:lang w:val="en-GB"/>
        </w:rPr>
        <w:footnoteReference w:id="49"/>
      </w:r>
    </w:p>
    <w:p w:rsidR="00B049A2" w:rsidRPr="00B8514C" w:rsidRDefault="00AC3959" w:rsidP="0073327D">
      <w:pPr>
        <w:pStyle w:val="absatzschattenbericht"/>
        <w:numPr>
          <w:ilvl w:val="0"/>
          <w:numId w:val="26"/>
        </w:numPr>
        <w:spacing w:after="100"/>
        <w:ind w:left="714" w:hanging="357"/>
        <w:rPr>
          <w:lang w:val="en-GB"/>
        </w:rPr>
      </w:pPr>
      <w:r>
        <w:rPr>
          <w:lang w:val="en-GB"/>
        </w:rPr>
        <w:t>6</w:t>
      </w:r>
      <w:r w:rsidR="00F56AC2" w:rsidRPr="00B8514C">
        <w:rPr>
          <w:lang w:val="en-GB"/>
        </w:rPr>
        <w:t xml:space="preserve"> Concluding Observations calling to provide </w:t>
      </w:r>
      <w:r w:rsidR="00F56AC2" w:rsidRPr="00B8514C">
        <w:rPr>
          <w:b/>
          <w:bCs/>
          <w:i/>
          <w:iCs/>
          <w:lang w:val="en-GB"/>
        </w:rPr>
        <w:t>“rehabilitation”</w:t>
      </w:r>
      <w:r w:rsidR="00F56AC2" w:rsidRPr="00B8514C">
        <w:rPr>
          <w:lang w:val="en-GB"/>
        </w:rPr>
        <w:t xml:space="preserve"> to victims of IGM practices</w:t>
      </w:r>
      <w:r w:rsidR="00B049A2" w:rsidRPr="00B8514C">
        <w:rPr>
          <w:rStyle w:val="Funotenzeichen"/>
          <w:sz w:val="23"/>
          <w:szCs w:val="23"/>
          <w:lang w:val="en-GB"/>
        </w:rPr>
        <w:footnoteReference w:id="50"/>
      </w:r>
    </w:p>
    <w:p w:rsidR="001C427F" w:rsidRPr="00B8514C" w:rsidRDefault="001C427F" w:rsidP="0073327D">
      <w:pPr>
        <w:pStyle w:val="absatzschattenbericht"/>
        <w:numPr>
          <w:ilvl w:val="0"/>
          <w:numId w:val="26"/>
        </w:numPr>
        <w:spacing w:after="100"/>
        <w:ind w:left="714" w:hanging="357"/>
        <w:rPr>
          <w:lang w:val="en-GB"/>
        </w:rPr>
      </w:pPr>
      <w:r w:rsidRPr="00B8514C">
        <w:rPr>
          <w:lang w:val="en-GB"/>
        </w:rPr>
        <w:t xml:space="preserve">7 Concluding Observations calling to abolish or extend the </w:t>
      </w:r>
      <w:r w:rsidRPr="00B8514C">
        <w:rPr>
          <w:b/>
          <w:bCs/>
          <w:i/>
          <w:iCs/>
          <w:lang w:val="en-GB"/>
        </w:rPr>
        <w:t>“statutes of limitation”</w:t>
      </w:r>
      <w:r w:rsidRPr="00B8514C">
        <w:rPr>
          <w:rStyle w:val="Funotenzeichen"/>
          <w:sz w:val="23"/>
          <w:szCs w:val="23"/>
          <w:lang w:val="en-GB"/>
        </w:rPr>
        <w:footnoteReference w:id="51"/>
      </w:r>
    </w:p>
    <w:p w:rsidR="001C427F" w:rsidRPr="00B8514C" w:rsidRDefault="00B2348B" w:rsidP="0073327D">
      <w:pPr>
        <w:pStyle w:val="absatzschattenbericht"/>
        <w:numPr>
          <w:ilvl w:val="0"/>
          <w:numId w:val="26"/>
        </w:numPr>
        <w:spacing w:after="100"/>
        <w:ind w:left="714" w:hanging="357"/>
        <w:rPr>
          <w:lang w:val="en-GB"/>
        </w:rPr>
      </w:pPr>
      <w:r w:rsidRPr="00B8514C">
        <w:rPr>
          <w:lang w:val="en-GB"/>
        </w:rPr>
        <w:t>1</w:t>
      </w:r>
      <w:r w:rsidR="001C427F" w:rsidRPr="00B8514C">
        <w:rPr>
          <w:lang w:val="en-GB"/>
        </w:rPr>
        <w:t xml:space="preserve"> Concluding Observations calling to </w:t>
      </w:r>
      <w:r w:rsidR="001C427F" w:rsidRPr="00B8514C">
        <w:rPr>
          <w:b/>
          <w:bCs/>
          <w:i/>
          <w:iCs/>
          <w:lang w:val="en-GB"/>
        </w:rPr>
        <w:t>“</w:t>
      </w:r>
      <w:r w:rsidRPr="00B8514C">
        <w:rPr>
          <w:b/>
          <w:bCs/>
          <w:i/>
          <w:iCs/>
          <w:lang w:val="en-GB"/>
        </w:rPr>
        <w:t>punish perpetrators</w:t>
      </w:r>
      <w:r w:rsidR="001C427F" w:rsidRPr="00B8514C">
        <w:rPr>
          <w:b/>
          <w:bCs/>
          <w:i/>
          <w:iCs/>
          <w:lang w:val="en-GB"/>
        </w:rPr>
        <w:t>”</w:t>
      </w:r>
      <w:r w:rsidR="001C427F" w:rsidRPr="00B8514C">
        <w:rPr>
          <w:lang w:val="en-GB"/>
        </w:rPr>
        <w:t xml:space="preserve"> of IGM practices</w:t>
      </w:r>
      <w:r w:rsidR="001C427F" w:rsidRPr="00B8514C">
        <w:rPr>
          <w:rStyle w:val="Funotenzeichen"/>
          <w:sz w:val="23"/>
          <w:szCs w:val="23"/>
          <w:lang w:val="en-GB"/>
        </w:rPr>
        <w:footnoteReference w:id="52"/>
      </w:r>
    </w:p>
    <w:p w:rsidR="001C427F" w:rsidRPr="00B8514C" w:rsidRDefault="00B2348B" w:rsidP="0073327D">
      <w:pPr>
        <w:pStyle w:val="absatzschattenbericht"/>
        <w:numPr>
          <w:ilvl w:val="0"/>
          <w:numId w:val="26"/>
        </w:numPr>
        <w:spacing w:after="100"/>
        <w:ind w:left="714" w:hanging="357"/>
        <w:rPr>
          <w:lang w:val="en-GB"/>
        </w:rPr>
      </w:pPr>
      <w:r w:rsidRPr="00B8514C">
        <w:rPr>
          <w:lang w:val="en-GB"/>
        </w:rPr>
        <w:lastRenderedPageBreak/>
        <w:t>6</w:t>
      </w:r>
      <w:r w:rsidR="001C427F" w:rsidRPr="00B8514C">
        <w:rPr>
          <w:lang w:val="en-GB"/>
        </w:rPr>
        <w:t xml:space="preserve"> Concluding Observations calling to </w:t>
      </w:r>
      <w:r w:rsidR="001C427F" w:rsidRPr="00B8514C">
        <w:rPr>
          <w:b/>
          <w:bCs/>
          <w:i/>
          <w:iCs/>
          <w:lang w:val="en-GB"/>
        </w:rPr>
        <w:t>“</w:t>
      </w:r>
      <w:r w:rsidRPr="00B8514C">
        <w:rPr>
          <w:b/>
          <w:bCs/>
          <w:i/>
          <w:iCs/>
          <w:lang w:val="en-GB"/>
        </w:rPr>
        <w:t>investigate cases</w:t>
      </w:r>
      <w:r w:rsidR="001C427F" w:rsidRPr="00B8514C">
        <w:rPr>
          <w:b/>
          <w:bCs/>
          <w:i/>
          <w:iCs/>
          <w:lang w:val="en-GB"/>
        </w:rPr>
        <w:t>”</w:t>
      </w:r>
      <w:r w:rsidR="001C427F" w:rsidRPr="00B8514C">
        <w:rPr>
          <w:lang w:val="en-GB"/>
        </w:rPr>
        <w:t xml:space="preserve"> of IGM practices</w:t>
      </w:r>
      <w:r w:rsidR="001C427F" w:rsidRPr="00B8514C">
        <w:rPr>
          <w:rStyle w:val="Funotenzeichen"/>
          <w:sz w:val="23"/>
          <w:szCs w:val="23"/>
          <w:lang w:val="en-GB"/>
        </w:rPr>
        <w:footnoteReference w:id="53"/>
      </w:r>
    </w:p>
    <w:p w:rsidR="001C427F" w:rsidRPr="00B8514C" w:rsidRDefault="00B2348B" w:rsidP="0073327D">
      <w:pPr>
        <w:pStyle w:val="absatzschattenbericht"/>
        <w:numPr>
          <w:ilvl w:val="0"/>
          <w:numId w:val="26"/>
        </w:numPr>
        <w:spacing w:after="100"/>
        <w:ind w:left="714" w:hanging="357"/>
        <w:rPr>
          <w:lang w:val="en-GB"/>
        </w:rPr>
      </w:pPr>
      <w:r w:rsidRPr="00B8514C">
        <w:rPr>
          <w:lang w:val="en-GB"/>
        </w:rPr>
        <w:t>5</w:t>
      </w:r>
      <w:r w:rsidR="001C427F" w:rsidRPr="00B8514C">
        <w:rPr>
          <w:lang w:val="en-GB"/>
        </w:rPr>
        <w:t xml:space="preserve"> Concluding Observations </w:t>
      </w:r>
      <w:r w:rsidRPr="00B8514C">
        <w:rPr>
          <w:lang w:val="en-GB"/>
        </w:rPr>
        <w:t xml:space="preserve">recognising the </w:t>
      </w:r>
      <w:r w:rsidR="001C427F" w:rsidRPr="00B8514C">
        <w:rPr>
          <w:b/>
          <w:bCs/>
          <w:i/>
          <w:iCs/>
          <w:lang w:val="en-GB"/>
        </w:rPr>
        <w:t>“</w:t>
      </w:r>
      <w:r w:rsidRPr="00B8514C">
        <w:rPr>
          <w:b/>
          <w:bCs/>
          <w:i/>
          <w:iCs/>
          <w:lang w:val="en-GB"/>
        </w:rPr>
        <w:t>lack of sanctions</w:t>
      </w:r>
      <w:r w:rsidR="001C427F" w:rsidRPr="00B8514C">
        <w:rPr>
          <w:b/>
          <w:bCs/>
          <w:i/>
          <w:iCs/>
          <w:lang w:val="en-GB"/>
        </w:rPr>
        <w:t>”</w:t>
      </w:r>
      <w:r w:rsidR="001C427F" w:rsidRPr="00B8514C">
        <w:rPr>
          <w:lang w:val="en-GB"/>
        </w:rPr>
        <w:t xml:space="preserve"> </w:t>
      </w:r>
      <w:r w:rsidRPr="00B8514C">
        <w:rPr>
          <w:lang w:val="en-GB"/>
        </w:rPr>
        <w:t>for</w:t>
      </w:r>
      <w:r w:rsidR="001C427F" w:rsidRPr="00B8514C">
        <w:rPr>
          <w:lang w:val="en-GB"/>
        </w:rPr>
        <w:t xml:space="preserve"> IGM practices</w:t>
      </w:r>
      <w:r w:rsidR="001C427F" w:rsidRPr="00B8514C">
        <w:rPr>
          <w:rStyle w:val="Funotenzeichen"/>
          <w:sz w:val="23"/>
          <w:szCs w:val="23"/>
          <w:lang w:val="en-GB"/>
        </w:rPr>
        <w:footnoteReference w:id="54"/>
      </w:r>
    </w:p>
    <w:p w:rsidR="00B049A2" w:rsidRPr="00B8514C" w:rsidRDefault="00B2348B" w:rsidP="0073327D">
      <w:pPr>
        <w:pStyle w:val="absatzschattenbericht"/>
        <w:numPr>
          <w:ilvl w:val="0"/>
          <w:numId w:val="26"/>
        </w:numPr>
        <w:spacing w:after="100"/>
        <w:ind w:left="714" w:hanging="357"/>
        <w:rPr>
          <w:lang w:val="en-GB"/>
        </w:rPr>
      </w:pPr>
      <w:r w:rsidRPr="00B8514C">
        <w:rPr>
          <w:lang w:val="en-GB"/>
        </w:rPr>
        <w:t xml:space="preserve">2 Concluding Observations calling to impose </w:t>
      </w:r>
      <w:r w:rsidRPr="00B8514C">
        <w:rPr>
          <w:b/>
          <w:bCs/>
          <w:i/>
          <w:iCs/>
          <w:lang w:val="en-GB"/>
        </w:rPr>
        <w:t>“sanctions”</w:t>
      </w:r>
      <w:r w:rsidRPr="00B8514C">
        <w:rPr>
          <w:lang w:val="en-GB"/>
        </w:rPr>
        <w:t xml:space="preserve"> for IGM perpetrators</w:t>
      </w:r>
      <w:r w:rsidR="00B049A2" w:rsidRPr="00B8514C">
        <w:rPr>
          <w:rStyle w:val="Funotenzeichen"/>
          <w:sz w:val="23"/>
          <w:szCs w:val="23"/>
          <w:lang w:val="en-GB"/>
        </w:rPr>
        <w:footnoteReference w:id="55"/>
      </w:r>
    </w:p>
    <w:p w:rsidR="000B4591" w:rsidRPr="00010522" w:rsidRDefault="007C0748" w:rsidP="007D24FA">
      <w:pPr>
        <w:pStyle w:val="absatzschattenbericht"/>
        <w:numPr>
          <w:ilvl w:val="0"/>
          <w:numId w:val="26"/>
        </w:numPr>
        <w:ind w:left="714" w:hanging="357"/>
        <w:jc w:val="left"/>
        <w:rPr>
          <w:lang w:val="en-GB"/>
        </w:rPr>
      </w:pPr>
      <w:r>
        <w:rPr>
          <w:lang w:val="en-GB"/>
        </w:rPr>
        <w:t>2</w:t>
      </w:r>
      <w:r w:rsidR="00B2348B" w:rsidRPr="00B8514C">
        <w:rPr>
          <w:lang w:val="en-GB"/>
        </w:rPr>
        <w:t xml:space="preserve"> Concluding Observations </w:t>
      </w:r>
      <w:r w:rsidR="001A5056" w:rsidRPr="00B8514C">
        <w:rPr>
          <w:lang w:val="en-GB"/>
        </w:rPr>
        <w:t xml:space="preserve">noting concern about IGM practices performed in </w:t>
      </w:r>
      <w:r w:rsidR="00B2348B" w:rsidRPr="00B8514C">
        <w:rPr>
          <w:b/>
          <w:bCs/>
          <w:i/>
          <w:iCs/>
          <w:lang w:val="en-GB"/>
        </w:rPr>
        <w:t>“</w:t>
      </w:r>
      <w:r w:rsidR="001A5056" w:rsidRPr="00B8514C">
        <w:rPr>
          <w:b/>
          <w:bCs/>
          <w:i/>
          <w:iCs/>
          <w:lang w:val="en-GB"/>
        </w:rPr>
        <w:t>neighbouring countries</w:t>
      </w:r>
      <w:r w:rsidR="00B2348B" w:rsidRPr="00B8514C">
        <w:rPr>
          <w:b/>
          <w:bCs/>
          <w:i/>
          <w:iCs/>
          <w:lang w:val="en-GB"/>
        </w:rPr>
        <w:t>”</w:t>
      </w:r>
      <w:r>
        <w:rPr>
          <w:lang w:val="en-GB"/>
        </w:rPr>
        <w:t xml:space="preserve"> or </w:t>
      </w:r>
      <w:r w:rsidRPr="007C0748">
        <w:rPr>
          <w:b/>
          <w:bCs/>
          <w:i/>
          <w:iCs/>
          <w:lang w:val="en-GB"/>
        </w:rPr>
        <w:t>“</w:t>
      </w:r>
      <w:r>
        <w:rPr>
          <w:b/>
          <w:bCs/>
          <w:i/>
          <w:iCs/>
          <w:lang w:val="en-GB"/>
        </w:rPr>
        <w:t>abroad</w:t>
      </w:r>
      <w:r w:rsidRPr="007C0748">
        <w:rPr>
          <w:b/>
          <w:bCs/>
          <w:i/>
          <w:iCs/>
          <w:lang w:val="en-GB"/>
        </w:rPr>
        <w:t>”</w:t>
      </w:r>
      <w:r w:rsidR="00B049A2" w:rsidRPr="00B8514C">
        <w:rPr>
          <w:rStyle w:val="Funotenzeichen"/>
          <w:sz w:val="23"/>
          <w:szCs w:val="23"/>
          <w:lang w:val="en-GB"/>
        </w:rPr>
        <w:footnoteReference w:id="56"/>
      </w:r>
    </w:p>
    <w:p w:rsidR="0058006E" w:rsidRPr="00B8514C" w:rsidRDefault="00830BA5" w:rsidP="00B8514C">
      <w:pPr>
        <w:pStyle w:val="Title2"/>
      </w:pPr>
      <w:bookmarkStart w:id="7" w:name="_Toc185616875"/>
      <w:r>
        <w:t>6</w:t>
      </w:r>
      <w:r w:rsidR="0058006E" w:rsidRPr="00B8514C">
        <w:t xml:space="preserve">.  </w:t>
      </w:r>
      <w:r w:rsidR="00B8514C" w:rsidRPr="00B8514C">
        <w:t>Existing laws aimed at prohibiting IGM practices</w:t>
      </w:r>
      <w:bookmarkEnd w:id="7"/>
    </w:p>
    <w:p w:rsidR="0058006E" w:rsidRPr="004271DC" w:rsidRDefault="00B8514C" w:rsidP="004271DC">
      <w:pPr>
        <w:pStyle w:val="absatzschattenbericht"/>
        <w:rPr>
          <w:lang w:val="en-GB"/>
        </w:rPr>
      </w:pPr>
      <w:r w:rsidRPr="004271DC">
        <w:rPr>
          <w:lang w:val="en-GB"/>
        </w:rPr>
        <w:t xml:space="preserve">So far, only </w:t>
      </w:r>
      <w:r w:rsidRPr="00577EAA">
        <w:rPr>
          <w:b/>
          <w:bCs/>
          <w:lang w:val="en-GB"/>
        </w:rPr>
        <w:t xml:space="preserve">6 states have enacted </w:t>
      </w:r>
      <w:r w:rsidR="001B6711">
        <w:rPr>
          <w:b/>
          <w:bCs/>
          <w:lang w:val="en-GB"/>
        </w:rPr>
        <w:t xml:space="preserve">(insufficient) </w:t>
      </w:r>
      <w:r w:rsidRPr="00577EAA">
        <w:rPr>
          <w:b/>
          <w:bCs/>
          <w:lang w:val="en-GB"/>
        </w:rPr>
        <w:t>national legislation</w:t>
      </w:r>
      <w:r w:rsidRPr="004271DC">
        <w:rPr>
          <w:lang w:val="en-GB"/>
        </w:rPr>
        <w:t xml:space="preserve"> to prevent IGM practices:</w:t>
      </w:r>
    </w:p>
    <w:p w:rsidR="00AB0F46" w:rsidRPr="004271DC" w:rsidRDefault="00AB0F46" w:rsidP="0073327D">
      <w:pPr>
        <w:pStyle w:val="absatzschattenbericht"/>
        <w:numPr>
          <w:ilvl w:val="0"/>
          <w:numId w:val="26"/>
        </w:numPr>
        <w:spacing w:after="100"/>
        <w:ind w:left="714" w:hanging="357"/>
        <w:rPr>
          <w:lang w:val="en-GB"/>
        </w:rPr>
      </w:pPr>
      <w:r w:rsidRPr="004271DC">
        <w:rPr>
          <w:lang w:val="en-GB"/>
        </w:rPr>
        <w:t xml:space="preserve">Malta (2015, amended </w:t>
      </w:r>
      <w:r w:rsidR="00B4713E" w:rsidRPr="004271DC">
        <w:rPr>
          <w:lang w:val="en-GB"/>
        </w:rPr>
        <w:t>2018</w:t>
      </w:r>
      <w:r w:rsidRPr="004271DC">
        <w:rPr>
          <w:lang w:val="en-GB"/>
        </w:rPr>
        <w:t>)</w:t>
      </w:r>
      <w:r w:rsidRPr="004271DC">
        <w:rPr>
          <w:rStyle w:val="Funotenzeichen"/>
          <w:sz w:val="23"/>
          <w:szCs w:val="23"/>
          <w:lang w:val="en-GB"/>
        </w:rPr>
        <w:footnoteReference w:id="57"/>
      </w:r>
    </w:p>
    <w:p w:rsidR="00AB0F46" w:rsidRPr="004271DC" w:rsidRDefault="00AB0F46" w:rsidP="0073327D">
      <w:pPr>
        <w:pStyle w:val="absatzschattenbericht"/>
        <w:numPr>
          <w:ilvl w:val="0"/>
          <w:numId w:val="26"/>
        </w:numPr>
        <w:spacing w:after="100"/>
        <w:ind w:left="714" w:hanging="357"/>
        <w:rPr>
          <w:lang w:val="en-GB"/>
        </w:rPr>
      </w:pPr>
      <w:r w:rsidRPr="004271DC">
        <w:rPr>
          <w:lang w:val="en-GB"/>
        </w:rPr>
        <w:t>Portugal (2018)</w:t>
      </w:r>
      <w:r w:rsidR="00B4713E" w:rsidRPr="004271DC">
        <w:rPr>
          <w:rStyle w:val="Funotenzeichen"/>
          <w:sz w:val="23"/>
          <w:szCs w:val="23"/>
          <w:lang w:val="en-GB"/>
        </w:rPr>
        <w:footnoteReference w:id="58"/>
      </w:r>
    </w:p>
    <w:p w:rsidR="00AB0F46" w:rsidRPr="004271DC" w:rsidRDefault="00AB0F46" w:rsidP="0073327D">
      <w:pPr>
        <w:pStyle w:val="absatzschattenbericht"/>
        <w:numPr>
          <w:ilvl w:val="0"/>
          <w:numId w:val="26"/>
        </w:numPr>
        <w:spacing w:after="100"/>
        <w:ind w:left="714" w:hanging="357"/>
        <w:rPr>
          <w:lang w:val="en-GB"/>
        </w:rPr>
      </w:pPr>
      <w:r w:rsidRPr="004271DC">
        <w:rPr>
          <w:lang w:val="en-GB"/>
        </w:rPr>
        <w:t>Iceland (2020)</w:t>
      </w:r>
      <w:r w:rsidR="00B4713E" w:rsidRPr="004271DC">
        <w:rPr>
          <w:rStyle w:val="Funotenzeichen"/>
          <w:sz w:val="23"/>
          <w:szCs w:val="23"/>
          <w:lang w:val="en-GB"/>
        </w:rPr>
        <w:footnoteReference w:id="59"/>
      </w:r>
    </w:p>
    <w:p w:rsidR="00AB0F46" w:rsidRPr="004271DC" w:rsidRDefault="00AB0F46" w:rsidP="0073327D">
      <w:pPr>
        <w:pStyle w:val="absatzschattenbericht"/>
        <w:numPr>
          <w:ilvl w:val="0"/>
          <w:numId w:val="26"/>
        </w:numPr>
        <w:spacing w:after="100"/>
        <w:ind w:left="714" w:hanging="357"/>
        <w:rPr>
          <w:lang w:val="en-GB"/>
        </w:rPr>
      </w:pPr>
      <w:r w:rsidRPr="004271DC">
        <w:rPr>
          <w:lang w:val="en-GB"/>
        </w:rPr>
        <w:t>Germany (2021)</w:t>
      </w:r>
      <w:r w:rsidR="00B4713E" w:rsidRPr="004271DC">
        <w:rPr>
          <w:rStyle w:val="Funotenzeichen"/>
          <w:sz w:val="23"/>
          <w:szCs w:val="23"/>
          <w:lang w:val="en-GB"/>
        </w:rPr>
        <w:footnoteReference w:id="60"/>
      </w:r>
      <w:r w:rsidR="001B6711">
        <w:rPr>
          <w:lang w:val="en-GB"/>
        </w:rPr>
        <w:t xml:space="preserve"> </w:t>
      </w:r>
      <w:r w:rsidR="001B6711" w:rsidRPr="004271DC">
        <w:rPr>
          <w:rStyle w:val="Funotenzeichen"/>
          <w:sz w:val="23"/>
          <w:szCs w:val="23"/>
          <w:lang w:val="en-GB"/>
        </w:rPr>
        <w:footnoteReference w:id="61"/>
      </w:r>
    </w:p>
    <w:p w:rsidR="00AB0F46" w:rsidRPr="004271DC" w:rsidRDefault="00AB0F46" w:rsidP="0073327D">
      <w:pPr>
        <w:pStyle w:val="absatzschattenbericht"/>
        <w:numPr>
          <w:ilvl w:val="0"/>
          <w:numId w:val="26"/>
        </w:numPr>
        <w:spacing w:after="100"/>
        <w:ind w:left="714" w:hanging="357"/>
        <w:rPr>
          <w:lang w:val="en-GB"/>
        </w:rPr>
      </w:pPr>
      <w:r w:rsidRPr="004271DC">
        <w:rPr>
          <w:lang w:val="en-GB"/>
        </w:rPr>
        <w:t>Greece (2022)</w:t>
      </w:r>
      <w:r w:rsidR="00B4713E" w:rsidRPr="004271DC">
        <w:rPr>
          <w:rStyle w:val="Funotenzeichen"/>
          <w:sz w:val="23"/>
          <w:szCs w:val="23"/>
          <w:lang w:val="en-GB"/>
        </w:rPr>
        <w:footnoteReference w:id="62"/>
      </w:r>
    </w:p>
    <w:p w:rsidR="00AB0F46" w:rsidRPr="004271DC" w:rsidRDefault="00AB0F46" w:rsidP="004271DC">
      <w:pPr>
        <w:pStyle w:val="absatzschattenbericht"/>
        <w:numPr>
          <w:ilvl w:val="0"/>
          <w:numId w:val="26"/>
        </w:numPr>
        <w:rPr>
          <w:lang w:val="en-GB"/>
        </w:rPr>
      </w:pPr>
      <w:r w:rsidRPr="004271DC">
        <w:rPr>
          <w:lang w:val="en-GB"/>
        </w:rPr>
        <w:t>Spain (2023)</w:t>
      </w:r>
      <w:r w:rsidR="00B4713E" w:rsidRPr="004271DC">
        <w:rPr>
          <w:rStyle w:val="Funotenzeichen"/>
          <w:sz w:val="23"/>
          <w:szCs w:val="23"/>
          <w:lang w:val="en-GB"/>
        </w:rPr>
        <w:footnoteReference w:id="63"/>
      </w:r>
    </w:p>
    <w:p w:rsidR="00355A6E" w:rsidRDefault="00355A6E" w:rsidP="00AB0F46">
      <w:pPr>
        <w:pStyle w:val="absatzschattenbericht"/>
        <w:rPr>
          <w:lang w:val="en-GB"/>
        </w:rPr>
      </w:pPr>
      <w:r>
        <w:rPr>
          <w:lang w:val="en-GB"/>
        </w:rPr>
        <w:t xml:space="preserve">However, only </w:t>
      </w:r>
      <w:r w:rsidRPr="00EE3A32">
        <w:rPr>
          <w:b/>
          <w:bCs/>
          <w:lang w:val="en-GB"/>
        </w:rPr>
        <w:t>2 of these laws</w:t>
      </w:r>
      <w:r>
        <w:rPr>
          <w:lang w:val="en-GB"/>
        </w:rPr>
        <w:t xml:space="preserve"> include </w:t>
      </w:r>
      <w:r w:rsidRPr="00EE3A32">
        <w:rPr>
          <w:b/>
          <w:bCs/>
          <w:lang w:val="en-GB"/>
        </w:rPr>
        <w:t>sanctions</w:t>
      </w:r>
      <w:r>
        <w:rPr>
          <w:lang w:val="en-GB"/>
        </w:rPr>
        <w:t xml:space="preserve"> for IGM perpetrators (Malta and Greece), </w:t>
      </w:r>
      <w:r w:rsidR="007C0748">
        <w:rPr>
          <w:lang w:val="en-GB"/>
        </w:rPr>
        <w:br/>
      </w:r>
      <w:r w:rsidRPr="00EE3A32">
        <w:rPr>
          <w:b/>
          <w:bCs/>
          <w:lang w:val="en-GB"/>
        </w:rPr>
        <w:t>none</w:t>
      </w:r>
      <w:r>
        <w:rPr>
          <w:lang w:val="en-GB"/>
        </w:rPr>
        <w:t xml:space="preserve"> include a prohibition under </w:t>
      </w:r>
      <w:r w:rsidRPr="00EE3A32">
        <w:rPr>
          <w:b/>
          <w:bCs/>
          <w:lang w:val="en-GB"/>
        </w:rPr>
        <w:t>criminal law</w:t>
      </w:r>
      <w:r>
        <w:rPr>
          <w:lang w:val="en-GB"/>
        </w:rPr>
        <w:t xml:space="preserve">, </w:t>
      </w:r>
      <w:r w:rsidRPr="00EE3A32">
        <w:rPr>
          <w:b/>
          <w:bCs/>
          <w:lang w:val="en-GB"/>
        </w:rPr>
        <w:t>none</w:t>
      </w:r>
      <w:r>
        <w:rPr>
          <w:lang w:val="en-GB"/>
        </w:rPr>
        <w:t xml:space="preserve"> include </w:t>
      </w:r>
      <w:r w:rsidRPr="00EE3A32">
        <w:rPr>
          <w:b/>
          <w:bCs/>
          <w:lang w:val="en-GB"/>
        </w:rPr>
        <w:t>extraterritorial protections</w:t>
      </w:r>
      <w:r>
        <w:rPr>
          <w:lang w:val="en-GB"/>
        </w:rPr>
        <w:t xml:space="preserve">, and </w:t>
      </w:r>
      <w:r w:rsidRPr="00EE3A32">
        <w:rPr>
          <w:b/>
          <w:bCs/>
          <w:lang w:val="en-GB"/>
        </w:rPr>
        <w:lastRenderedPageBreak/>
        <w:t>none</w:t>
      </w:r>
      <w:r>
        <w:rPr>
          <w:lang w:val="en-GB"/>
        </w:rPr>
        <w:t xml:space="preserve"> contain </w:t>
      </w:r>
      <w:r w:rsidRPr="00EE3A32">
        <w:rPr>
          <w:b/>
          <w:bCs/>
          <w:lang w:val="en-GB"/>
        </w:rPr>
        <w:t>statutes of limitations long enough</w:t>
      </w:r>
      <w:r>
        <w:rPr>
          <w:lang w:val="en-GB"/>
        </w:rPr>
        <w:t xml:space="preserve"> to allow adult IGM survivors to call a court</w:t>
      </w:r>
      <w:r w:rsidR="00EE3A32">
        <w:rPr>
          <w:lang w:val="en-GB"/>
        </w:rPr>
        <w:t xml:space="preserve"> or include provisions to ensure </w:t>
      </w:r>
      <w:r w:rsidR="00EE3A32" w:rsidRPr="009B6D95">
        <w:rPr>
          <w:b/>
          <w:bCs/>
          <w:lang w:val="en-GB"/>
        </w:rPr>
        <w:t>compensation or reparations</w:t>
      </w:r>
      <w:r w:rsidR="00EE3A32">
        <w:rPr>
          <w:lang w:val="en-GB"/>
        </w:rPr>
        <w:t xml:space="preserve"> for victims</w:t>
      </w:r>
      <w:r>
        <w:rPr>
          <w:lang w:val="en-GB"/>
        </w:rPr>
        <w:t>.</w:t>
      </w:r>
    </w:p>
    <w:p w:rsidR="00010522" w:rsidRDefault="00355A6E" w:rsidP="00AB0F46">
      <w:pPr>
        <w:pStyle w:val="absatzschattenbericht"/>
        <w:rPr>
          <w:lang w:val="en-GB"/>
        </w:rPr>
      </w:pPr>
      <w:r>
        <w:rPr>
          <w:lang w:val="en-GB"/>
        </w:rPr>
        <w:t xml:space="preserve">Therefore, </w:t>
      </w:r>
      <w:r w:rsidRPr="00EE3A32">
        <w:rPr>
          <w:b/>
          <w:bCs/>
          <w:lang w:val="en-GB"/>
        </w:rPr>
        <w:t>all of these laws fail to meet the minimum requirements</w:t>
      </w:r>
      <w:r>
        <w:rPr>
          <w:lang w:val="en-GB"/>
        </w:rPr>
        <w:t xml:space="preserve"> under international law. Apparently, </w:t>
      </w:r>
      <w:r w:rsidRPr="00EE3A32">
        <w:rPr>
          <w:b/>
          <w:bCs/>
          <w:lang w:val="en-GB"/>
        </w:rPr>
        <w:t>none of them are enforced</w:t>
      </w:r>
      <w:r>
        <w:rPr>
          <w:lang w:val="en-GB"/>
        </w:rPr>
        <w:t>, as IGM practices continue to be performed in all states</w:t>
      </w:r>
      <w:r w:rsidR="00D621F3">
        <w:rPr>
          <w:lang w:val="en-GB"/>
        </w:rPr>
        <w:t>, both domestic and/or abroad in contractual hospitals</w:t>
      </w:r>
      <w:r w:rsidR="00B672C1">
        <w:rPr>
          <w:lang w:val="en-GB"/>
        </w:rPr>
        <w:t xml:space="preserve">, and so far, </w:t>
      </w:r>
      <w:r w:rsidR="00B672C1" w:rsidRPr="00EE3A32">
        <w:rPr>
          <w:b/>
          <w:bCs/>
          <w:lang w:val="en-GB"/>
        </w:rPr>
        <w:t>none seem to have given rise to legal proceedings</w:t>
      </w:r>
      <w:r w:rsidR="00B672C1">
        <w:rPr>
          <w:lang w:val="en-GB"/>
        </w:rPr>
        <w:t xml:space="preserve"> against IGM perpetrators.</w:t>
      </w:r>
      <w:r w:rsidR="00EE3A32">
        <w:rPr>
          <w:lang w:val="en-GB"/>
        </w:rPr>
        <w:t xml:space="preserve"> </w:t>
      </w:r>
    </w:p>
    <w:p w:rsidR="00AB0F46" w:rsidRDefault="00010522" w:rsidP="00AB0F46">
      <w:pPr>
        <w:pStyle w:val="absatzschattenbericht"/>
        <w:rPr>
          <w:lang w:val="en-GB"/>
        </w:rPr>
      </w:pPr>
      <w:r>
        <w:rPr>
          <w:lang w:val="en-GB"/>
        </w:rPr>
        <w:t xml:space="preserve">Conclusion: While these laws represent the current best practice, </w:t>
      </w:r>
      <w:r w:rsidR="00A6366E">
        <w:rPr>
          <w:lang w:val="en-GB"/>
        </w:rPr>
        <w:t xml:space="preserve">they nonetheless </w:t>
      </w:r>
      <w:r w:rsidR="00A6366E" w:rsidRPr="009A4902">
        <w:rPr>
          <w:b/>
          <w:bCs/>
          <w:lang w:val="en-GB"/>
        </w:rPr>
        <w:t>fail to protect intersex children, adolescents and adults</w:t>
      </w:r>
      <w:r w:rsidR="00A6366E">
        <w:rPr>
          <w:lang w:val="en-GB"/>
        </w:rPr>
        <w:t xml:space="preserve"> from IGM practices.</w:t>
      </w:r>
    </w:p>
    <w:p w:rsidR="00A6366E" w:rsidRPr="00B8514C" w:rsidRDefault="00A6366E" w:rsidP="00A6366E">
      <w:pPr>
        <w:pStyle w:val="absatzschattenbericht"/>
        <w:rPr>
          <w:lang w:val="en-GB"/>
        </w:rPr>
      </w:pPr>
      <w:r w:rsidRPr="00B8514C">
        <w:rPr>
          <w:lang w:val="en-GB"/>
        </w:rPr>
        <w:t xml:space="preserve">Accordingly, </w:t>
      </w:r>
      <w:r w:rsidRPr="00FB295D">
        <w:rPr>
          <w:b/>
          <w:bCs/>
          <w:lang w:val="en-GB"/>
        </w:rPr>
        <w:t>Treaty bodies</w:t>
      </w:r>
      <w:r w:rsidRPr="00B8514C">
        <w:rPr>
          <w:lang w:val="en-GB"/>
        </w:rPr>
        <w:t xml:space="preserve"> have </w:t>
      </w:r>
      <w:r w:rsidR="00F16C9A">
        <w:rPr>
          <w:lang w:val="en-GB"/>
        </w:rPr>
        <w:t xml:space="preserve">also criticised these insufficient laws, and have </w:t>
      </w:r>
      <w:r w:rsidRPr="00B8514C">
        <w:rPr>
          <w:lang w:val="en-GB"/>
        </w:rPr>
        <w:t>issued</w:t>
      </w:r>
      <w:r w:rsidR="00831CE2">
        <w:rPr>
          <w:lang w:val="en-GB"/>
        </w:rPr>
        <w:t xml:space="preserve"> so far</w:t>
      </w:r>
      <w:r w:rsidRPr="00B8514C">
        <w:rPr>
          <w:lang w:val="en-GB"/>
        </w:rPr>
        <w:t>:</w:t>
      </w:r>
    </w:p>
    <w:p w:rsidR="00667753" w:rsidRPr="00B8514C" w:rsidRDefault="00667753" w:rsidP="0073327D">
      <w:pPr>
        <w:pStyle w:val="absatzschattenbericht"/>
        <w:numPr>
          <w:ilvl w:val="0"/>
          <w:numId w:val="26"/>
        </w:numPr>
        <w:spacing w:after="80"/>
        <w:ind w:left="714" w:hanging="357"/>
        <w:rPr>
          <w:lang w:val="en-GB"/>
        </w:rPr>
      </w:pPr>
      <w:r>
        <w:rPr>
          <w:lang w:val="en-GB"/>
        </w:rPr>
        <w:t>6</w:t>
      </w:r>
      <w:r w:rsidRPr="00B8514C">
        <w:rPr>
          <w:lang w:val="en-GB"/>
        </w:rPr>
        <w:t xml:space="preserve"> Concluding Observations calling to </w:t>
      </w:r>
      <w:r w:rsidRPr="00B8514C">
        <w:rPr>
          <w:b/>
          <w:bCs/>
          <w:i/>
          <w:iCs/>
          <w:lang w:val="en-GB"/>
        </w:rPr>
        <w:t>“</w:t>
      </w:r>
      <w:r>
        <w:rPr>
          <w:b/>
          <w:bCs/>
          <w:i/>
          <w:iCs/>
          <w:lang w:val="en-GB"/>
        </w:rPr>
        <w:t>amend</w:t>
      </w:r>
      <w:r w:rsidRPr="00B8514C">
        <w:rPr>
          <w:b/>
          <w:bCs/>
          <w:i/>
          <w:iCs/>
          <w:lang w:val="en-GB"/>
        </w:rPr>
        <w:t>”</w:t>
      </w:r>
      <w:r w:rsidRPr="00B8514C">
        <w:rPr>
          <w:lang w:val="en-GB"/>
        </w:rPr>
        <w:t xml:space="preserve"> </w:t>
      </w:r>
      <w:r>
        <w:rPr>
          <w:lang w:val="en-GB"/>
        </w:rPr>
        <w:t xml:space="preserve">the insufficient existing </w:t>
      </w:r>
      <w:r w:rsidRPr="00B1149C">
        <w:rPr>
          <w:lang w:val="en-GB"/>
        </w:rPr>
        <w:t>laws</w:t>
      </w:r>
      <w:r w:rsidRPr="00B8514C">
        <w:rPr>
          <w:rStyle w:val="Funotenzeichen"/>
          <w:sz w:val="23"/>
          <w:szCs w:val="23"/>
          <w:lang w:val="en-GB"/>
        </w:rPr>
        <w:footnoteReference w:id="64"/>
      </w:r>
    </w:p>
    <w:p w:rsidR="00A6366E" w:rsidRPr="00B8514C" w:rsidRDefault="00A6366E" w:rsidP="0073327D">
      <w:pPr>
        <w:pStyle w:val="absatzschattenbericht"/>
        <w:numPr>
          <w:ilvl w:val="0"/>
          <w:numId w:val="26"/>
        </w:numPr>
        <w:spacing w:after="80"/>
        <w:ind w:left="714" w:hanging="357"/>
        <w:rPr>
          <w:lang w:val="en-GB"/>
        </w:rPr>
      </w:pPr>
      <w:r>
        <w:rPr>
          <w:lang w:val="en-GB"/>
        </w:rPr>
        <w:t>2</w:t>
      </w:r>
      <w:r w:rsidRPr="00B8514C">
        <w:rPr>
          <w:lang w:val="en-GB"/>
        </w:rPr>
        <w:t xml:space="preserve"> Concluding Observations calling to </w:t>
      </w:r>
      <w:r w:rsidRPr="00B8514C">
        <w:rPr>
          <w:b/>
          <w:bCs/>
          <w:i/>
          <w:iCs/>
          <w:lang w:val="en-GB"/>
        </w:rPr>
        <w:t>“</w:t>
      </w:r>
      <w:r>
        <w:rPr>
          <w:b/>
          <w:bCs/>
          <w:i/>
          <w:iCs/>
          <w:lang w:val="en-GB"/>
        </w:rPr>
        <w:t>enforce</w:t>
      </w:r>
      <w:r w:rsidRPr="00B8514C">
        <w:rPr>
          <w:b/>
          <w:bCs/>
          <w:i/>
          <w:iCs/>
          <w:lang w:val="en-GB"/>
        </w:rPr>
        <w:t>”</w:t>
      </w:r>
      <w:r w:rsidRPr="00B8514C">
        <w:rPr>
          <w:lang w:val="en-GB"/>
        </w:rPr>
        <w:t xml:space="preserve"> </w:t>
      </w:r>
      <w:r>
        <w:rPr>
          <w:lang w:val="en-GB"/>
        </w:rPr>
        <w:t xml:space="preserve">the existing </w:t>
      </w:r>
      <w:r w:rsidRPr="00B1149C">
        <w:rPr>
          <w:lang w:val="en-GB"/>
        </w:rPr>
        <w:t>laws</w:t>
      </w:r>
      <w:r w:rsidRPr="00B8514C">
        <w:rPr>
          <w:rStyle w:val="Funotenzeichen"/>
          <w:sz w:val="23"/>
          <w:szCs w:val="23"/>
          <w:lang w:val="en-GB"/>
        </w:rPr>
        <w:footnoteReference w:id="65"/>
      </w:r>
    </w:p>
    <w:p w:rsidR="00450AE3" w:rsidRPr="00B8514C" w:rsidRDefault="00450AE3" w:rsidP="00450AE3">
      <w:pPr>
        <w:pStyle w:val="absatzschattenbericht"/>
        <w:numPr>
          <w:ilvl w:val="0"/>
          <w:numId w:val="26"/>
        </w:numPr>
        <w:rPr>
          <w:lang w:val="en-GB"/>
        </w:rPr>
      </w:pPr>
      <w:r>
        <w:rPr>
          <w:lang w:val="en-GB"/>
        </w:rPr>
        <w:t>2</w:t>
      </w:r>
      <w:r w:rsidRPr="00B8514C">
        <w:rPr>
          <w:lang w:val="en-GB"/>
        </w:rPr>
        <w:t xml:space="preserve"> Concluding Observations </w:t>
      </w:r>
      <w:r>
        <w:rPr>
          <w:lang w:val="en-GB"/>
        </w:rPr>
        <w:t>recognising</w:t>
      </w:r>
      <w:r w:rsidRPr="00B8514C">
        <w:rPr>
          <w:lang w:val="en-GB"/>
        </w:rPr>
        <w:t xml:space="preserve"> </w:t>
      </w:r>
      <w:r>
        <w:rPr>
          <w:lang w:val="en-GB"/>
        </w:rPr>
        <w:t xml:space="preserve">that </w:t>
      </w:r>
      <w:r w:rsidRPr="00FB295D">
        <w:rPr>
          <w:b/>
          <w:bCs/>
          <w:lang w:val="en-GB"/>
        </w:rPr>
        <w:t>IGM continues despite the existing laws</w:t>
      </w:r>
      <w:r w:rsidRPr="00B8514C">
        <w:rPr>
          <w:rStyle w:val="Funotenzeichen"/>
          <w:sz w:val="23"/>
          <w:szCs w:val="23"/>
          <w:lang w:val="en-GB"/>
        </w:rPr>
        <w:footnoteReference w:id="66"/>
      </w:r>
    </w:p>
    <w:p w:rsidR="00427751" w:rsidRPr="00CF0F1C" w:rsidRDefault="00327978" w:rsidP="00427751">
      <w:pPr>
        <w:pStyle w:val="Title2"/>
      </w:pPr>
      <w:bookmarkStart w:id="8" w:name="_Toc19465709"/>
      <w:bookmarkStart w:id="9" w:name="_Toc31570305"/>
      <w:bookmarkStart w:id="10" w:name="_Toc34004118"/>
      <w:bookmarkStart w:id="11" w:name="_Toc48428241"/>
      <w:bookmarkStart w:id="12" w:name="_Toc48509368"/>
      <w:bookmarkStart w:id="13" w:name="_Toc132491483"/>
      <w:bookmarkStart w:id="14" w:name="_Toc161663963"/>
      <w:bookmarkStart w:id="15" w:name="_Toc185616876"/>
      <w:r>
        <w:t>7</w:t>
      </w:r>
      <w:r w:rsidR="00427751" w:rsidRPr="00CF0F1C">
        <w:t xml:space="preserve">.  IGM </w:t>
      </w:r>
      <w:r>
        <w:t>practices are violence,</w:t>
      </w:r>
      <w:r w:rsidR="00427751" w:rsidRPr="00CF0F1C">
        <w:t xml:space="preserve"> NOT a “</w:t>
      </w:r>
      <w:r>
        <w:t>health care</w:t>
      </w:r>
      <w:r w:rsidR="00427751" w:rsidRPr="00CF0F1C">
        <w:t>”</w:t>
      </w:r>
      <w:r w:rsidR="001370A1">
        <w:t xml:space="preserve">, </w:t>
      </w:r>
      <w:r w:rsidR="00AD01C0">
        <w:t>“discrimination” or</w:t>
      </w:r>
      <w:r w:rsidR="00AD01C0">
        <w:br/>
        <w:t xml:space="preserve">  </w:t>
      </w:r>
      <w:proofErr w:type="gramStart"/>
      <w:r w:rsidR="00AD01C0">
        <w:t xml:space="preserve">   “</w:t>
      </w:r>
      <w:proofErr w:type="gramEnd"/>
      <w:r w:rsidR="00AD01C0">
        <w:t>gender identity”</w:t>
      </w:r>
      <w:r>
        <w:t xml:space="preserve"> i</w:t>
      </w:r>
      <w:r w:rsidR="00427751" w:rsidRPr="00CF0F1C">
        <w:t>ssue</w:t>
      </w:r>
      <w:bookmarkEnd w:id="8"/>
      <w:bookmarkEnd w:id="9"/>
      <w:bookmarkEnd w:id="10"/>
      <w:bookmarkEnd w:id="11"/>
      <w:bookmarkEnd w:id="12"/>
      <w:bookmarkEnd w:id="13"/>
      <w:bookmarkEnd w:id="14"/>
      <w:bookmarkEnd w:id="15"/>
    </w:p>
    <w:p w:rsidR="00C54F8C" w:rsidRDefault="00070DD8" w:rsidP="00327978">
      <w:pPr>
        <w:pStyle w:val="absatzschattenbericht"/>
        <w:rPr>
          <w:rFonts w:eastAsia="Times New Roman"/>
          <w:lang w:val="en-GB" w:eastAsia="hi-IN"/>
        </w:rPr>
      </w:pPr>
      <w:r w:rsidRPr="00070DD8">
        <w:rPr>
          <w:rFonts w:eastAsia="Times New Roman"/>
          <w:lang w:val="en-GB" w:eastAsia="hi-IN"/>
        </w:rPr>
        <w:t>Although the minimum requirements to effectively combat IGM practices under international law and their non-</w:t>
      </w:r>
      <w:proofErr w:type="spellStart"/>
      <w:r w:rsidRPr="00070DD8">
        <w:rPr>
          <w:rFonts w:eastAsia="Times New Roman"/>
          <w:lang w:val="en-GB" w:eastAsia="hi-IN"/>
        </w:rPr>
        <w:t>derogable</w:t>
      </w:r>
      <w:proofErr w:type="spellEnd"/>
      <w:r w:rsidRPr="00070DD8">
        <w:rPr>
          <w:rFonts w:eastAsia="Times New Roman"/>
          <w:lang w:val="en-GB" w:eastAsia="hi-IN"/>
        </w:rPr>
        <w:t xml:space="preserve"> nature are very clear</w:t>
      </w:r>
      <w:r w:rsidR="007F045F">
        <w:rPr>
          <w:rFonts w:eastAsia="Times New Roman"/>
          <w:lang w:val="en-GB" w:eastAsia="hi-IN"/>
        </w:rPr>
        <w:t xml:space="preserve"> (see above, p. </w:t>
      </w:r>
      <w:r w:rsidR="00A83281">
        <w:rPr>
          <w:rFonts w:eastAsia="Times New Roman"/>
          <w:lang w:val="en-GB" w:eastAsia="hi-IN"/>
        </w:rPr>
        <w:t>6-8</w:t>
      </w:r>
      <w:r w:rsidR="007F045F">
        <w:rPr>
          <w:rFonts w:eastAsia="Times New Roman"/>
          <w:lang w:val="en-GB" w:eastAsia="hi-IN"/>
        </w:rPr>
        <w:t>)</w:t>
      </w:r>
      <w:r w:rsidRPr="00070DD8">
        <w:rPr>
          <w:rFonts w:eastAsia="Times New Roman"/>
          <w:lang w:val="en-GB" w:eastAsia="hi-IN"/>
        </w:rPr>
        <w:t xml:space="preserve">, over the last decade IGM doctors and their medical organisations have been </w:t>
      </w:r>
      <w:r w:rsidRPr="007F045F">
        <w:rPr>
          <w:rFonts w:eastAsia="Times New Roman"/>
          <w:b/>
          <w:bCs/>
          <w:lang w:val="en-GB" w:eastAsia="hi-IN"/>
        </w:rPr>
        <w:t>increasingly campaigning</w:t>
      </w:r>
      <w:r w:rsidRPr="00070DD8">
        <w:rPr>
          <w:rFonts w:eastAsia="Times New Roman"/>
          <w:lang w:val="en-GB" w:eastAsia="hi-IN"/>
        </w:rPr>
        <w:t xml:space="preserve"> behind the scenes, to </w:t>
      </w:r>
      <w:r w:rsidRPr="00DF4145">
        <w:rPr>
          <w:rFonts w:eastAsia="Times New Roman"/>
          <w:b/>
          <w:bCs/>
          <w:lang w:val="en-GB" w:eastAsia="hi-IN"/>
        </w:rPr>
        <w:t xml:space="preserve">reframe and downgrade </w:t>
      </w:r>
      <w:r w:rsidR="00DF4145" w:rsidRPr="00DF4145">
        <w:rPr>
          <w:rFonts w:eastAsia="Times New Roman"/>
          <w:b/>
          <w:bCs/>
          <w:lang w:val="en-GB" w:eastAsia="hi-IN"/>
        </w:rPr>
        <w:t xml:space="preserve">the </w:t>
      </w:r>
      <w:r w:rsidRPr="00DF4145">
        <w:rPr>
          <w:rFonts w:eastAsia="Times New Roman"/>
          <w:b/>
          <w:bCs/>
          <w:lang w:val="en-GB" w:eastAsia="hi-IN"/>
        </w:rPr>
        <w:t>human rights of intersex children</w:t>
      </w:r>
      <w:r w:rsidRPr="00070DD8">
        <w:rPr>
          <w:rFonts w:eastAsia="Times New Roman"/>
          <w:lang w:val="en-GB" w:eastAsia="hi-IN"/>
        </w:rPr>
        <w:t xml:space="preserve"> </w:t>
      </w:r>
      <w:r w:rsidR="003B0145">
        <w:rPr>
          <w:rFonts w:eastAsia="Times New Roman"/>
          <w:lang w:val="en-GB" w:eastAsia="hi-IN"/>
        </w:rPr>
        <w:t xml:space="preserve">at risk </w:t>
      </w:r>
      <w:r w:rsidRPr="00070DD8">
        <w:rPr>
          <w:rFonts w:eastAsia="Times New Roman"/>
          <w:lang w:val="en-GB" w:eastAsia="hi-IN"/>
        </w:rPr>
        <w:t xml:space="preserve">from </w:t>
      </w:r>
      <w:r w:rsidR="002E036E">
        <w:rPr>
          <w:rFonts w:eastAsia="Times New Roman"/>
          <w:lang w:val="en-GB" w:eastAsia="hi-IN"/>
        </w:rPr>
        <w:t xml:space="preserve">an issue of </w:t>
      </w:r>
      <w:r w:rsidRPr="00070DD8">
        <w:rPr>
          <w:rFonts w:eastAsia="Times New Roman"/>
          <w:lang w:val="en-GB" w:eastAsia="hi-IN"/>
        </w:rPr>
        <w:t xml:space="preserve">violence to a </w:t>
      </w:r>
      <w:r w:rsidR="003B0145" w:rsidRPr="007F045F">
        <w:rPr>
          <w:rFonts w:eastAsia="Times New Roman"/>
          <w:b/>
          <w:bCs/>
          <w:lang w:val="en-GB" w:eastAsia="hi-IN"/>
        </w:rPr>
        <w:t>“</w:t>
      </w:r>
      <w:r w:rsidRPr="007F045F">
        <w:rPr>
          <w:rFonts w:eastAsia="Times New Roman"/>
          <w:b/>
          <w:bCs/>
          <w:lang w:val="en-GB" w:eastAsia="hi-IN"/>
        </w:rPr>
        <w:t>health care</w:t>
      </w:r>
      <w:r w:rsidR="003B0145" w:rsidRPr="007F045F">
        <w:rPr>
          <w:rFonts w:eastAsia="Times New Roman"/>
          <w:b/>
          <w:bCs/>
          <w:lang w:val="en-GB" w:eastAsia="hi-IN"/>
        </w:rPr>
        <w:t>”</w:t>
      </w:r>
      <w:r w:rsidRPr="007F045F">
        <w:rPr>
          <w:rFonts w:eastAsia="Times New Roman"/>
          <w:b/>
          <w:bCs/>
          <w:lang w:val="en-GB" w:eastAsia="hi-IN"/>
        </w:rPr>
        <w:t xml:space="preserve">, </w:t>
      </w:r>
      <w:r w:rsidR="003B0145" w:rsidRPr="007F045F">
        <w:rPr>
          <w:rFonts w:eastAsia="Times New Roman"/>
          <w:b/>
          <w:bCs/>
          <w:lang w:val="en-GB" w:eastAsia="hi-IN"/>
        </w:rPr>
        <w:t>“</w:t>
      </w:r>
      <w:r w:rsidRPr="007F045F">
        <w:rPr>
          <w:rFonts w:eastAsia="Times New Roman"/>
          <w:b/>
          <w:bCs/>
          <w:lang w:val="en-GB" w:eastAsia="hi-IN"/>
        </w:rPr>
        <w:t>discrimination</w:t>
      </w:r>
      <w:r w:rsidR="003B0145" w:rsidRPr="007F045F">
        <w:rPr>
          <w:rFonts w:eastAsia="Times New Roman"/>
          <w:b/>
          <w:bCs/>
          <w:lang w:val="en-GB" w:eastAsia="hi-IN"/>
        </w:rPr>
        <w:t>”</w:t>
      </w:r>
      <w:r w:rsidRPr="007F045F">
        <w:rPr>
          <w:rFonts w:eastAsia="Times New Roman"/>
          <w:b/>
          <w:bCs/>
          <w:lang w:val="en-GB" w:eastAsia="hi-IN"/>
        </w:rPr>
        <w:t xml:space="preserve"> or </w:t>
      </w:r>
      <w:r w:rsidR="003B0145" w:rsidRPr="007F045F">
        <w:rPr>
          <w:rFonts w:eastAsia="Times New Roman"/>
          <w:b/>
          <w:bCs/>
          <w:lang w:val="en-GB" w:eastAsia="hi-IN"/>
        </w:rPr>
        <w:t>“</w:t>
      </w:r>
      <w:r w:rsidRPr="007F045F">
        <w:rPr>
          <w:rFonts w:eastAsia="Times New Roman"/>
          <w:b/>
          <w:bCs/>
          <w:lang w:val="en-GB" w:eastAsia="hi-IN"/>
        </w:rPr>
        <w:t>gender identity</w:t>
      </w:r>
      <w:r w:rsidR="003B0145" w:rsidRPr="007F045F">
        <w:rPr>
          <w:rFonts w:eastAsia="Times New Roman"/>
          <w:b/>
          <w:bCs/>
          <w:lang w:val="en-GB" w:eastAsia="hi-IN"/>
        </w:rPr>
        <w:t>”</w:t>
      </w:r>
      <w:r w:rsidRPr="007F045F">
        <w:rPr>
          <w:rFonts w:eastAsia="Times New Roman"/>
          <w:b/>
          <w:bCs/>
          <w:lang w:val="en-GB" w:eastAsia="hi-IN"/>
        </w:rPr>
        <w:t xml:space="preserve"> issue</w:t>
      </w:r>
      <w:r w:rsidR="00AD01C0" w:rsidRPr="003B0145">
        <w:rPr>
          <w:rFonts w:eastAsia="Times New Roman"/>
          <w:vertAlign w:val="superscript"/>
          <w:lang w:val="en-GB" w:eastAsia="hi-IN"/>
        </w:rPr>
        <w:footnoteReference w:id="67"/>
      </w:r>
      <w:r w:rsidRPr="00070DD8">
        <w:rPr>
          <w:rFonts w:eastAsia="Times New Roman"/>
          <w:lang w:val="en-GB" w:eastAsia="hi-IN"/>
        </w:rPr>
        <w:t xml:space="preserve"> in order </w:t>
      </w:r>
      <w:r w:rsidRPr="00DF4145">
        <w:rPr>
          <w:rFonts w:eastAsia="Times New Roman"/>
          <w:b/>
          <w:bCs/>
          <w:lang w:val="en-GB" w:eastAsia="hi-IN"/>
        </w:rPr>
        <w:t>to prevent the minimum requirements</w:t>
      </w:r>
      <w:r w:rsidRPr="00070DD8">
        <w:rPr>
          <w:rFonts w:eastAsia="Times New Roman"/>
          <w:lang w:val="en-GB" w:eastAsia="hi-IN"/>
        </w:rPr>
        <w:t xml:space="preserve"> to protect vulnerable intersex children </w:t>
      </w:r>
      <w:r w:rsidRPr="00DF4145">
        <w:rPr>
          <w:rFonts w:eastAsia="Times New Roman"/>
          <w:b/>
          <w:bCs/>
          <w:lang w:val="en-GB" w:eastAsia="hi-IN"/>
        </w:rPr>
        <w:t>from becoming law</w:t>
      </w:r>
      <w:r w:rsidRPr="00070DD8">
        <w:rPr>
          <w:rFonts w:eastAsia="Times New Roman"/>
          <w:lang w:val="en-GB" w:eastAsia="hi-IN"/>
        </w:rPr>
        <w:t xml:space="preserve"> in past and current legislative efforts.</w:t>
      </w:r>
    </w:p>
    <w:p w:rsidR="002E036E" w:rsidRPr="00524400" w:rsidRDefault="00DF4145" w:rsidP="00524400">
      <w:pPr>
        <w:pStyle w:val="absatzschattenbericht"/>
        <w:rPr>
          <w:rFonts w:eastAsia="Times New Roman"/>
          <w:b/>
          <w:bCs/>
          <w:lang w:val="en-GB" w:eastAsia="hi-IN"/>
        </w:rPr>
      </w:pPr>
      <w:r>
        <w:rPr>
          <w:rFonts w:eastAsia="Times New Roman"/>
          <w:lang w:val="en-GB" w:eastAsia="hi-IN"/>
        </w:rPr>
        <w:t>Where</w:t>
      </w:r>
      <w:r w:rsidR="00FE73EE">
        <w:rPr>
          <w:rFonts w:eastAsia="Times New Roman"/>
          <w:lang w:val="en-GB" w:eastAsia="hi-IN"/>
        </w:rPr>
        <w:t xml:space="preserve"> having</w:t>
      </w:r>
      <w:r w:rsidR="00524400">
        <w:rPr>
          <w:rFonts w:eastAsia="Times New Roman"/>
          <w:lang w:val="en-GB" w:eastAsia="hi-IN"/>
        </w:rPr>
        <w:t xml:space="preserve"> </w:t>
      </w:r>
      <w:r w:rsidRPr="009B2A21">
        <w:rPr>
          <w:rFonts w:eastAsia="Times New Roman"/>
          <w:b/>
          <w:bCs/>
          <w:lang w:val="en-GB" w:eastAsia="hi-IN"/>
        </w:rPr>
        <w:t>no regulation at all is no longer feasible</w:t>
      </w:r>
      <w:r>
        <w:rPr>
          <w:rFonts w:eastAsia="Times New Roman"/>
          <w:lang w:val="en-GB" w:eastAsia="hi-IN"/>
        </w:rPr>
        <w:t xml:space="preserve"> due to public and political pressure, i</w:t>
      </w:r>
      <w:r w:rsidR="003B0145">
        <w:rPr>
          <w:rFonts w:eastAsia="Times New Roman"/>
          <w:lang w:val="en-GB" w:eastAsia="hi-IN"/>
        </w:rPr>
        <w:t xml:space="preserve">nstead of effective measures, IGM doctors </w:t>
      </w:r>
      <w:r w:rsidR="009B2A21">
        <w:rPr>
          <w:rFonts w:eastAsia="Times New Roman"/>
          <w:lang w:val="en-GB" w:eastAsia="hi-IN"/>
        </w:rPr>
        <w:t xml:space="preserve">and aligned </w:t>
      </w:r>
      <w:r w:rsidR="007F045F">
        <w:rPr>
          <w:rFonts w:eastAsia="Times New Roman"/>
          <w:lang w:val="en-GB" w:eastAsia="hi-IN"/>
        </w:rPr>
        <w:t>actors</w:t>
      </w:r>
      <w:r w:rsidR="009B2A21">
        <w:rPr>
          <w:rFonts w:eastAsia="Times New Roman"/>
          <w:lang w:val="en-GB" w:eastAsia="hi-IN"/>
        </w:rPr>
        <w:t xml:space="preserve"> </w:t>
      </w:r>
      <w:r w:rsidR="003B0145" w:rsidRPr="007F045F">
        <w:rPr>
          <w:rFonts w:eastAsia="Times New Roman"/>
          <w:b/>
          <w:bCs/>
          <w:lang w:val="en-GB" w:eastAsia="hi-IN"/>
        </w:rPr>
        <w:t>promote (in order</w:t>
      </w:r>
      <w:r w:rsidR="00524400">
        <w:rPr>
          <w:rFonts w:eastAsia="Times New Roman"/>
          <w:b/>
          <w:bCs/>
          <w:lang w:val="en-GB" w:eastAsia="hi-IN"/>
        </w:rPr>
        <w:t xml:space="preserve"> of preference</w:t>
      </w:r>
      <w:r w:rsidR="003B0145" w:rsidRPr="007F045F">
        <w:rPr>
          <w:rFonts w:eastAsia="Times New Roman"/>
          <w:b/>
          <w:bCs/>
          <w:lang w:val="en-GB" w:eastAsia="hi-IN"/>
        </w:rPr>
        <w:t>)</w:t>
      </w:r>
      <w:r w:rsidR="007F045F">
        <w:rPr>
          <w:rFonts w:eastAsia="Times New Roman"/>
          <w:b/>
          <w:bCs/>
          <w:lang w:val="en-GB" w:eastAsia="hi-IN"/>
        </w:rPr>
        <w:t>:</w:t>
      </w:r>
    </w:p>
    <w:p w:rsidR="003B0145" w:rsidRPr="00DF4145" w:rsidRDefault="003B0145" w:rsidP="0073327D">
      <w:pPr>
        <w:pStyle w:val="absatzschattenbericht"/>
        <w:numPr>
          <w:ilvl w:val="0"/>
          <w:numId w:val="32"/>
        </w:numPr>
        <w:spacing w:after="80"/>
        <w:ind w:left="714" w:hanging="357"/>
        <w:rPr>
          <w:rFonts w:eastAsia="Times New Roman"/>
          <w:lang w:val="en-GB" w:eastAsia="hi-IN"/>
        </w:rPr>
      </w:pPr>
      <w:r w:rsidRPr="009B2A21">
        <w:rPr>
          <w:rFonts w:eastAsia="Times New Roman"/>
          <w:b/>
          <w:bCs/>
          <w:lang w:val="en-GB" w:eastAsia="hi-IN"/>
        </w:rPr>
        <w:t>“self-regulation”</w:t>
      </w:r>
      <w:r w:rsidRPr="00DF4145">
        <w:rPr>
          <w:rFonts w:eastAsia="Times New Roman"/>
          <w:lang w:val="en-GB" w:eastAsia="hi-IN"/>
        </w:rPr>
        <w:t xml:space="preserve"> by the current perpetrators</w:t>
      </w:r>
      <w:r w:rsidR="00DF4145">
        <w:rPr>
          <w:rFonts w:eastAsia="Times New Roman"/>
          <w:lang w:val="en-GB" w:eastAsia="hi-IN"/>
        </w:rPr>
        <w:t xml:space="preserve"> via non-binding “guidelines”</w:t>
      </w:r>
      <w:r w:rsidRPr="003B0145">
        <w:rPr>
          <w:rFonts w:eastAsia="Times New Roman"/>
          <w:vertAlign w:val="superscript"/>
          <w:lang w:val="en-GB" w:eastAsia="hi-IN"/>
        </w:rPr>
        <w:footnoteReference w:id="68"/>
      </w:r>
      <w:r w:rsidRPr="00DF4145">
        <w:rPr>
          <w:rFonts w:eastAsia="Times New Roman"/>
          <w:lang w:val="en-GB" w:eastAsia="hi-IN"/>
        </w:rPr>
        <w:t xml:space="preserve"> </w:t>
      </w:r>
      <w:r w:rsidRPr="003B0145">
        <w:rPr>
          <w:rFonts w:eastAsia="Times New Roman"/>
          <w:vertAlign w:val="superscript"/>
          <w:lang w:val="en-GB" w:eastAsia="hi-IN"/>
        </w:rPr>
        <w:footnoteReference w:id="69"/>
      </w:r>
      <w:r w:rsidRPr="00DF4145">
        <w:rPr>
          <w:rFonts w:eastAsia="Times New Roman"/>
          <w:lang w:val="en-GB" w:eastAsia="hi-IN"/>
        </w:rPr>
        <w:t xml:space="preserve"> </w:t>
      </w:r>
      <w:r w:rsidRPr="003B0145">
        <w:rPr>
          <w:rFonts w:eastAsia="Times New Roman"/>
          <w:vertAlign w:val="superscript"/>
          <w:lang w:val="en-GB" w:eastAsia="hi-IN"/>
        </w:rPr>
        <w:footnoteReference w:id="70"/>
      </w:r>
    </w:p>
    <w:p w:rsidR="00DF4145" w:rsidRDefault="00653EBA" w:rsidP="0073327D">
      <w:pPr>
        <w:pStyle w:val="absatzschattenbericht"/>
        <w:numPr>
          <w:ilvl w:val="0"/>
          <w:numId w:val="32"/>
        </w:numPr>
        <w:spacing w:after="80"/>
        <w:ind w:left="714" w:hanging="357"/>
        <w:rPr>
          <w:rFonts w:eastAsia="Times New Roman"/>
          <w:lang w:val="en-GB" w:eastAsia="hi-IN"/>
        </w:rPr>
      </w:pPr>
      <w:r w:rsidRPr="009B2A21">
        <w:rPr>
          <w:rFonts w:eastAsia="Times New Roman"/>
          <w:b/>
          <w:bCs/>
          <w:lang w:val="en-GB" w:eastAsia="hi-IN"/>
        </w:rPr>
        <w:t>ministerial</w:t>
      </w:r>
      <w:r w:rsidR="00DF4145" w:rsidRPr="009B2A21">
        <w:rPr>
          <w:rFonts w:eastAsia="Times New Roman"/>
          <w:b/>
          <w:bCs/>
          <w:lang w:val="en-GB" w:eastAsia="hi-IN"/>
        </w:rPr>
        <w:t xml:space="preserve"> oversight</w:t>
      </w:r>
      <w:r w:rsidR="009B2A21">
        <w:rPr>
          <w:rFonts w:eastAsia="Times New Roman"/>
          <w:lang w:val="en-GB" w:eastAsia="hi-IN"/>
        </w:rPr>
        <w:t>, at best quasi legalising (most) IGM practices</w:t>
      </w:r>
      <w:r w:rsidR="007F045F" w:rsidRPr="00CF0F1C">
        <w:rPr>
          <w:rFonts w:eastAsia="Times New Roman"/>
          <w:vertAlign w:val="superscript"/>
          <w:lang w:val="en-GB" w:eastAsia="hi-IN"/>
        </w:rPr>
        <w:footnoteReference w:id="71"/>
      </w:r>
    </w:p>
    <w:p w:rsidR="003B0145" w:rsidRDefault="00DF4145" w:rsidP="0073327D">
      <w:pPr>
        <w:pStyle w:val="absatzschattenbericht"/>
        <w:numPr>
          <w:ilvl w:val="0"/>
          <w:numId w:val="32"/>
        </w:numPr>
        <w:spacing w:after="80"/>
        <w:ind w:left="714" w:hanging="357"/>
        <w:rPr>
          <w:rFonts w:eastAsia="Times New Roman"/>
          <w:lang w:val="en-GB" w:eastAsia="hi-IN"/>
        </w:rPr>
      </w:pPr>
      <w:r w:rsidRPr="009B2A21">
        <w:rPr>
          <w:rFonts w:eastAsia="Times New Roman"/>
          <w:b/>
          <w:bCs/>
          <w:lang w:val="en-GB" w:eastAsia="hi-IN"/>
        </w:rPr>
        <w:t xml:space="preserve">judicial </w:t>
      </w:r>
      <w:r w:rsidR="00653EBA" w:rsidRPr="009B2A21">
        <w:rPr>
          <w:rFonts w:eastAsia="Times New Roman"/>
          <w:b/>
          <w:bCs/>
          <w:lang w:val="en-GB" w:eastAsia="hi-IN"/>
        </w:rPr>
        <w:t>oversight</w:t>
      </w:r>
      <w:r>
        <w:rPr>
          <w:rFonts w:eastAsia="Times New Roman"/>
          <w:lang w:val="en-GB" w:eastAsia="hi-IN"/>
        </w:rPr>
        <w:t xml:space="preserve">, preferably by </w:t>
      </w:r>
      <w:r w:rsidRPr="009B2A21">
        <w:rPr>
          <w:rFonts w:eastAsia="Times New Roman"/>
          <w:b/>
          <w:bCs/>
          <w:lang w:val="en-GB" w:eastAsia="hi-IN"/>
        </w:rPr>
        <w:t>family courts</w:t>
      </w:r>
      <w:r w:rsidR="009B2A21">
        <w:rPr>
          <w:rFonts w:eastAsia="Times New Roman"/>
          <w:lang w:val="en-GB" w:eastAsia="hi-IN"/>
        </w:rPr>
        <w:t xml:space="preserve"> which IGM doctors know how to game</w:t>
      </w:r>
      <w:r w:rsidR="007F045F" w:rsidRPr="004271DC">
        <w:rPr>
          <w:rStyle w:val="Funotenzeichen"/>
          <w:sz w:val="23"/>
          <w:szCs w:val="23"/>
          <w:lang w:val="en-GB"/>
        </w:rPr>
        <w:footnoteReference w:id="72"/>
      </w:r>
    </w:p>
    <w:p w:rsidR="00653EBA" w:rsidRDefault="00653EBA" w:rsidP="0073327D">
      <w:pPr>
        <w:pStyle w:val="absatzschattenbericht"/>
        <w:numPr>
          <w:ilvl w:val="0"/>
          <w:numId w:val="32"/>
        </w:numPr>
        <w:spacing w:after="80"/>
        <w:ind w:left="714" w:hanging="357"/>
        <w:rPr>
          <w:rFonts w:eastAsia="Times New Roman"/>
          <w:lang w:val="en-GB" w:eastAsia="hi-IN"/>
        </w:rPr>
      </w:pPr>
      <w:r w:rsidRPr="009B2A21">
        <w:rPr>
          <w:rFonts w:eastAsia="Times New Roman"/>
          <w:b/>
          <w:bCs/>
          <w:lang w:val="en-GB" w:eastAsia="hi-IN"/>
        </w:rPr>
        <w:t>toothless “prohibition” without sanctions</w:t>
      </w:r>
      <w:r w:rsidR="00DF4145" w:rsidRPr="009B2A21">
        <w:rPr>
          <w:rFonts w:eastAsia="Times New Roman"/>
          <w:b/>
          <w:bCs/>
          <w:lang w:val="en-GB" w:eastAsia="hi-IN"/>
        </w:rPr>
        <w:t xml:space="preserve"> and access to justice</w:t>
      </w:r>
      <w:r w:rsidR="00DF4145">
        <w:rPr>
          <w:rFonts w:eastAsia="Times New Roman"/>
          <w:lang w:val="en-GB" w:eastAsia="hi-IN"/>
        </w:rPr>
        <w:t xml:space="preserve"> for IGM survivors</w:t>
      </w:r>
      <w:r w:rsidR="00A83281" w:rsidRPr="004271DC">
        <w:rPr>
          <w:rStyle w:val="Funotenzeichen"/>
          <w:sz w:val="23"/>
          <w:szCs w:val="23"/>
          <w:lang w:val="en-GB"/>
        </w:rPr>
        <w:footnoteReference w:id="73"/>
      </w:r>
    </w:p>
    <w:p w:rsidR="00653EBA" w:rsidRPr="009B2A21" w:rsidRDefault="00DF4145" w:rsidP="0073327D">
      <w:pPr>
        <w:pStyle w:val="absatzschattenbericht"/>
        <w:numPr>
          <w:ilvl w:val="0"/>
          <w:numId w:val="32"/>
        </w:numPr>
        <w:spacing w:after="0"/>
        <w:ind w:left="714" w:hanging="357"/>
        <w:rPr>
          <w:rFonts w:eastAsia="Times New Roman"/>
          <w:b/>
          <w:bCs/>
          <w:lang w:val="en-GB" w:eastAsia="hi-IN"/>
        </w:rPr>
      </w:pPr>
      <w:r w:rsidRPr="009B2A21">
        <w:rPr>
          <w:rFonts w:eastAsia="Times New Roman"/>
          <w:b/>
          <w:bCs/>
          <w:lang w:val="en-GB" w:eastAsia="hi-IN"/>
        </w:rPr>
        <w:t xml:space="preserve">unenforced “prohibition” </w:t>
      </w:r>
      <w:r w:rsidRPr="007F045F">
        <w:rPr>
          <w:rFonts w:eastAsia="Times New Roman"/>
          <w:lang w:val="en-GB" w:eastAsia="hi-IN"/>
        </w:rPr>
        <w:t xml:space="preserve">that </w:t>
      </w:r>
      <w:r w:rsidR="009B2A21" w:rsidRPr="007F045F">
        <w:rPr>
          <w:rFonts w:eastAsia="Times New Roman"/>
          <w:lang w:val="en-GB" w:eastAsia="hi-IN"/>
        </w:rPr>
        <w:t>exclude</w:t>
      </w:r>
      <w:r w:rsidR="007F045F" w:rsidRPr="007F045F">
        <w:rPr>
          <w:rFonts w:eastAsia="Times New Roman"/>
          <w:lang w:val="en-GB" w:eastAsia="hi-IN"/>
        </w:rPr>
        <w:t>s</w:t>
      </w:r>
      <w:r w:rsidR="009B2A21" w:rsidRPr="007F045F">
        <w:rPr>
          <w:rFonts w:eastAsia="Times New Roman"/>
          <w:lang w:val="en-GB" w:eastAsia="hi-IN"/>
        </w:rPr>
        <w:t xml:space="preserve"> and/or de facto</w:t>
      </w:r>
      <w:r w:rsidR="009B2A21" w:rsidRPr="009B2A21">
        <w:rPr>
          <w:rFonts w:eastAsia="Times New Roman"/>
          <w:b/>
          <w:bCs/>
          <w:lang w:val="en-GB" w:eastAsia="hi-IN"/>
        </w:rPr>
        <w:t xml:space="preserve"> legalise</w:t>
      </w:r>
      <w:r w:rsidR="007F045F">
        <w:rPr>
          <w:rFonts w:eastAsia="Times New Roman"/>
          <w:b/>
          <w:bCs/>
          <w:lang w:val="en-GB" w:eastAsia="hi-IN"/>
        </w:rPr>
        <w:t>s</w:t>
      </w:r>
      <w:r w:rsidRPr="009B2A21">
        <w:rPr>
          <w:rFonts w:eastAsia="Times New Roman"/>
          <w:b/>
          <w:bCs/>
          <w:lang w:val="en-GB" w:eastAsia="hi-IN"/>
        </w:rPr>
        <w:t xml:space="preserve"> the most frequent IGM practices</w:t>
      </w:r>
      <w:r w:rsidR="00740DED" w:rsidRPr="004271DC">
        <w:rPr>
          <w:rStyle w:val="Funotenzeichen"/>
          <w:sz w:val="23"/>
          <w:szCs w:val="23"/>
          <w:lang w:val="en-GB"/>
        </w:rPr>
        <w:footnoteReference w:id="74"/>
      </w:r>
    </w:p>
    <w:p w:rsidR="00427751" w:rsidRPr="00722995" w:rsidRDefault="00427751" w:rsidP="00327978">
      <w:pPr>
        <w:pStyle w:val="absatzschattenbericht"/>
        <w:rPr>
          <w:rFonts w:eastAsia="Times New Roman"/>
          <w:b/>
          <w:bCs/>
          <w:lang w:val="en-GB" w:eastAsia="hi-IN"/>
        </w:rPr>
      </w:pPr>
      <w:r w:rsidRPr="00CF0F1C">
        <w:rPr>
          <w:rFonts w:eastAsia="Times New Roman"/>
          <w:lang w:val="en-GB" w:eastAsia="hi-IN"/>
        </w:rPr>
        <w:lastRenderedPageBreak/>
        <w:t xml:space="preserve">Even worse, </w:t>
      </w:r>
      <w:r w:rsidRPr="00CF0F1C">
        <w:rPr>
          <w:rFonts w:eastAsia="Times New Roman"/>
          <w:b/>
          <w:bCs/>
          <w:lang w:val="en-GB" w:eastAsia="hi-IN"/>
        </w:rPr>
        <w:t>Health Ministries</w:t>
      </w:r>
      <w:r w:rsidRPr="00CF0F1C">
        <w:rPr>
          <w:rFonts w:eastAsia="Times New Roman"/>
          <w:bCs/>
          <w:lang w:val="en-GB" w:eastAsia="hi-IN"/>
        </w:rPr>
        <w:t xml:space="preserve"> construe UN Concluding observations falling short of explicitly recommending legislation to criminalise or adequately sanction IGM as an</w:t>
      </w:r>
      <w:r w:rsidRPr="00CF0F1C">
        <w:rPr>
          <w:rFonts w:eastAsia="Times New Roman"/>
          <w:b/>
          <w:bCs/>
          <w:lang w:val="en-GB" w:eastAsia="hi-IN"/>
        </w:rPr>
        <w:t xml:space="preserve"> excuse for “self-regulation” promoting state-sponsored IGM practices to continue with impunity.</w:t>
      </w:r>
      <w:r w:rsidRPr="00CF0F1C">
        <w:rPr>
          <w:rFonts w:eastAsia="Times New Roman"/>
          <w:vertAlign w:val="superscript"/>
          <w:lang w:val="en-GB" w:eastAsia="hi-IN"/>
        </w:rPr>
        <w:footnoteReference w:id="75"/>
      </w:r>
      <w:r w:rsidRPr="00CF0F1C">
        <w:rPr>
          <w:rFonts w:eastAsia="Times New Roman"/>
          <w:b/>
          <w:bCs/>
          <w:lang w:val="en-GB" w:eastAsia="hi-IN"/>
        </w:rPr>
        <w:t> </w:t>
      </w:r>
      <w:r w:rsidRPr="00CF0F1C">
        <w:rPr>
          <w:rFonts w:eastAsia="Times New Roman"/>
          <w:vertAlign w:val="superscript"/>
          <w:lang w:val="en-GB" w:eastAsia="hi-IN"/>
        </w:rPr>
        <w:footnoteReference w:id="76"/>
      </w:r>
      <w:r w:rsidRPr="00CF0F1C">
        <w:rPr>
          <w:rFonts w:eastAsia="Times New Roman"/>
          <w:b/>
          <w:bCs/>
          <w:lang w:val="en-GB" w:eastAsia="hi-IN"/>
        </w:rPr>
        <w:t xml:space="preserve"> </w:t>
      </w:r>
      <w:r w:rsidRPr="00CF0F1C">
        <w:rPr>
          <w:rFonts w:eastAsia="Times New Roman"/>
          <w:vertAlign w:val="superscript"/>
          <w:lang w:val="en-GB" w:eastAsia="hi-IN"/>
        </w:rPr>
        <w:footnoteReference w:id="77"/>
      </w:r>
    </w:p>
    <w:p w:rsidR="00AE5854" w:rsidRPr="00CF0F1C" w:rsidRDefault="00524400" w:rsidP="00524400">
      <w:pPr>
        <w:pStyle w:val="absatzschattenbericht"/>
        <w:spacing w:after="80"/>
        <w:rPr>
          <w:rFonts w:eastAsia="Times New Roman" w:cs="Times New Roman"/>
          <w:lang w:val="en-GB" w:eastAsia="hi-IN"/>
        </w:rPr>
      </w:pPr>
      <w:r w:rsidRPr="00147025">
        <w:rPr>
          <w:rFonts w:eastAsia="Times New Roman" w:cs="Times New Roman"/>
          <w:b/>
          <w:bCs/>
          <w:lang w:val="en-GB" w:eastAsia="hi-IN"/>
        </w:rPr>
        <w:t>Another common</w:t>
      </w:r>
      <w:r w:rsidRPr="00524400">
        <w:rPr>
          <w:rFonts w:eastAsia="Times New Roman" w:cs="Times New Roman"/>
          <w:b/>
          <w:bCs/>
          <w:lang w:val="en-GB" w:eastAsia="hi-IN"/>
        </w:rPr>
        <w:t xml:space="preserve"> harmful misrepresentation</w:t>
      </w:r>
      <w:r>
        <w:rPr>
          <w:rFonts w:eastAsia="Times New Roman" w:cs="Times New Roman"/>
          <w:lang w:val="en-GB" w:eastAsia="hi-IN"/>
        </w:rPr>
        <w:t xml:space="preserve"> of intersex human rights is framing intersex</w:t>
      </w:r>
      <w:r w:rsidRPr="00CF0F1C">
        <w:rPr>
          <w:rFonts w:eastAsia="Times New Roman" w:cs="Times New Roman"/>
          <w:lang w:val="en-GB" w:eastAsia="hi-IN"/>
        </w:rPr>
        <w:t xml:space="preserve"> as being </w:t>
      </w:r>
      <w:r w:rsidRPr="00524400">
        <w:rPr>
          <w:rFonts w:eastAsia="Times New Roman" w:cs="Times New Roman"/>
          <w:b/>
          <w:bCs/>
          <w:lang w:val="en-GB" w:eastAsia="hi-IN"/>
        </w:rPr>
        <w:t>the same as or a subset of LGBT or SOGI</w:t>
      </w:r>
      <w:r>
        <w:rPr>
          <w:rFonts w:eastAsia="Times New Roman" w:cs="Times New Roman"/>
          <w:lang w:val="en-GB" w:eastAsia="hi-IN"/>
        </w:rPr>
        <w:t xml:space="preserve">, </w:t>
      </w:r>
      <w:r w:rsidR="001370A1">
        <w:rPr>
          <w:rFonts w:eastAsia="Times New Roman" w:cs="Times New Roman"/>
          <w:lang w:val="en-GB" w:eastAsia="hi-IN"/>
        </w:rPr>
        <w:t xml:space="preserve">often </w:t>
      </w:r>
      <w:r>
        <w:rPr>
          <w:rFonts w:eastAsia="Times New Roman" w:cs="Times New Roman"/>
          <w:lang w:val="en-GB" w:eastAsia="hi-IN"/>
        </w:rPr>
        <w:t>due to</w:t>
      </w:r>
      <w:r w:rsidR="00AE5854" w:rsidRPr="00CF0F1C">
        <w:rPr>
          <w:rFonts w:eastAsia="Times New Roman" w:cs="Times New Roman"/>
          <w:lang w:val="en-GB" w:eastAsia="hi-IN"/>
        </w:rPr>
        <w:t xml:space="preserve"> </w:t>
      </w:r>
      <w:r w:rsidR="00AE5854" w:rsidRPr="00CF0F1C">
        <w:rPr>
          <w:rFonts w:eastAsia="Times New Roman" w:cs="Times New Roman"/>
          <w:b/>
          <w:lang w:val="en-GB" w:eastAsia="hi-IN"/>
        </w:rPr>
        <w:t>lack of awareness</w:t>
      </w:r>
      <w:r w:rsidR="00AE5854" w:rsidRPr="00CF0F1C">
        <w:rPr>
          <w:rFonts w:eastAsia="Times New Roman" w:cs="Times New Roman"/>
          <w:lang w:val="en-GB" w:eastAsia="hi-IN"/>
        </w:rPr>
        <w:t xml:space="preserve">, third party groups </w:t>
      </w:r>
      <w:r w:rsidR="00AE5854" w:rsidRPr="00CF0F1C">
        <w:rPr>
          <w:rFonts w:eastAsia="Times New Roman" w:cs="Times New Roman"/>
          <w:b/>
          <w:lang w:val="en-GB" w:eastAsia="hi-IN"/>
        </w:rPr>
        <w:t>instrumentalising intersex as a means to an end</w:t>
      </w:r>
      <w:r w:rsidR="00AE5854" w:rsidRPr="00CF0F1C">
        <w:rPr>
          <w:rStyle w:val="Funotenzeichen"/>
          <w:rFonts w:eastAsia="Times New Roman" w:cs="Times New Roman"/>
          <w:lang w:val="en-GB" w:eastAsia="hi-IN"/>
        </w:rPr>
        <w:footnoteReference w:id="78"/>
      </w:r>
      <w:r w:rsidR="00AE5854" w:rsidRPr="00CF0F1C">
        <w:rPr>
          <w:rFonts w:eastAsia="Times New Roman" w:cs="Times New Roman"/>
          <w:lang w:val="en-GB" w:eastAsia="hi-IN"/>
        </w:rPr>
        <w:t xml:space="preserve"> </w:t>
      </w:r>
      <w:r w:rsidR="00AE5854" w:rsidRPr="00CF0F1C">
        <w:rPr>
          <w:rStyle w:val="Funotenzeichen"/>
          <w:rFonts w:eastAsia="Times New Roman" w:cs="Times New Roman"/>
          <w:lang w:val="en-GB" w:eastAsia="hi-IN"/>
        </w:rPr>
        <w:footnoteReference w:id="79"/>
      </w:r>
      <w:r w:rsidR="00AE5854" w:rsidRPr="00CF0F1C">
        <w:rPr>
          <w:rFonts w:eastAsia="Times New Roman" w:cs="Times New Roman"/>
          <w:lang w:val="en-GB" w:eastAsia="hi-IN"/>
        </w:rPr>
        <w:t xml:space="preserve"> for their own agenda, </w:t>
      </w:r>
      <w:r w:rsidR="001370A1">
        <w:rPr>
          <w:rFonts w:eastAsia="Times New Roman" w:cs="Times New Roman"/>
          <w:lang w:val="en-GB" w:eastAsia="hi-IN"/>
        </w:rPr>
        <w:t>or</w:t>
      </w:r>
      <w:r w:rsidR="00AE5854" w:rsidRPr="00CF0F1C">
        <w:rPr>
          <w:rFonts w:eastAsia="Times New Roman" w:cs="Times New Roman"/>
          <w:lang w:val="en-GB" w:eastAsia="hi-IN"/>
        </w:rPr>
        <w:t xml:space="preserve"> State parties </w:t>
      </w:r>
      <w:r w:rsidR="00AE5854" w:rsidRPr="00CF0F1C">
        <w:rPr>
          <w:rFonts w:eastAsia="Times New Roman" w:cs="Times New Roman"/>
          <w:b/>
          <w:lang w:val="en-GB" w:eastAsia="hi-IN"/>
        </w:rPr>
        <w:t>trying to deflect</w:t>
      </w:r>
      <w:r w:rsidR="00AE5854" w:rsidRPr="00CF0F1C">
        <w:rPr>
          <w:rFonts w:eastAsia="Times New Roman" w:cs="Times New Roman"/>
          <w:lang w:val="en-GB" w:eastAsia="hi-IN"/>
        </w:rPr>
        <w:t xml:space="preserve"> from criticism of </w:t>
      </w:r>
      <w:r>
        <w:rPr>
          <w:rFonts w:eastAsia="Times New Roman" w:cs="Times New Roman"/>
          <w:lang w:val="en-GB" w:eastAsia="hi-IN"/>
        </w:rPr>
        <w:t>IGM practices</w:t>
      </w:r>
      <w:r w:rsidR="00AE5854" w:rsidRPr="00CF0F1C">
        <w:rPr>
          <w:rFonts w:eastAsia="Times New Roman" w:cs="Times New Roman"/>
          <w:lang w:val="en-GB" w:eastAsia="hi-IN"/>
        </w:rPr>
        <w:t>.</w:t>
      </w:r>
    </w:p>
    <w:p w:rsidR="00AE5854" w:rsidRPr="00CF0F1C" w:rsidRDefault="00AE5854" w:rsidP="00AE5854">
      <w:pPr>
        <w:pStyle w:val="absatzschattenbericht"/>
        <w:spacing w:after="80"/>
        <w:rPr>
          <w:rFonts w:eastAsia="Times New Roman" w:cs="Times New Roman"/>
          <w:b/>
          <w:lang w:val="en-GB" w:eastAsia="hi-IN"/>
        </w:rPr>
      </w:pPr>
      <w:r w:rsidRPr="00CF0F1C">
        <w:rPr>
          <w:rFonts w:eastAsia="Times New Roman" w:cs="Times New Roman"/>
          <w:b/>
          <w:lang w:val="en-GB" w:eastAsia="hi-IN"/>
        </w:rPr>
        <w:t>Intersex persons and their organisations have spoken out clearly against instrumentalising or misrepresenting intersex issues,</w:t>
      </w:r>
      <w:r w:rsidRPr="00CF0F1C">
        <w:rPr>
          <w:rStyle w:val="Funotenzeichen"/>
          <w:rFonts w:cs="Times New Roman"/>
          <w:lang w:val="en-GB"/>
        </w:rPr>
        <w:footnoteReference w:id="80"/>
      </w:r>
      <w:r w:rsidRPr="00CF0F1C">
        <w:rPr>
          <w:rFonts w:eastAsia="Times New Roman" w:cs="Times New Roman"/>
          <w:lang w:val="en-GB" w:eastAsia="hi-IN"/>
        </w:rPr>
        <w:t xml:space="preserve"> maintaining that IGM practices present a </w:t>
      </w:r>
      <w:r w:rsidRPr="00CF0F1C">
        <w:rPr>
          <w:rFonts w:eastAsia="Times New Roman" w:cs="Times New Roman"/>
          <w:b/>
          <w:lang w:val="en-GB" w:eastAsia="hi-IN"/>
        </w:rPr>
        <w:t>distinct and unique issue</w:t>
      </w:r>
      <w:r w:rsidRPr="00CF0F1C">
        <w:rPr>
          <w:rFonts w:eastAsia="Times New Roman" w:cs="Times New Roman"/>
          <w:lang w:val="en-GB" w:eastAsia="hi-IN"/>
        </w:rPr>
        <w:t xml:space="preserve"> constituting significant human rights violations, which are different from those faced by the LGBT community, and thus need to be </w:t>
      </w:r>
      <w:r w:rsidRPr="00CF0F1C">
        <w:rPr>
          <w:rFonts w:eastAsia="Times New Roman" w:cs="Times New Roman"/>
          <w:b/>
          <w:lang w:val="en-GB" w:eastAsia="hi-IN"/>
        </w:rPr>
        <w:t>adequately addressed in a separate section</w:t>
      </w:r>
      <w:r w:rsidRPr="00CF0F1C">
        <w:rPr>
          <w:rFonts w:eastAsia="Times New Roman" w:cs="Times New Roman"/>
          <w:lang w:val="en-GB" w:eastAsia="hi-IN"/>
        </w:rPr>
        <w:t xml:space="preserve"> as </w:t>
      </w:r>
      <w:r w:rsidRPr="00CF0F1C">
        <w:rPr>
          <w:rFonts w:eastAsia="Times New Roman" w:cs="Times New Roman"/>
          <w:b/>
          <w:lang w:val="en-GB" w:eastAsia="hi-IN"/>
        </w:rPr>
        <w:t xml:space="preserve">specific intersex issues. </w:t>
      </w:r>
    </w:p>
    <w:p w:rsidR="00BB7681" w:rsidRDefault="00AE5854" w:rsidP="00AE5854">
      <w:pPr>
        <w:pStyle w:val="absatzschattenbericht"/>
        <w:spacing w:after="80"/>
        <w:rPr>
          <w:rFonts w:cs="Times New Roman"/>
          <w:lang w:val="en-GB"/>
        </w:rPr>
      </w:pPr>
      <w:r w:rsidRPr="00CF0F1C">
        <w:rPr>
          <w:rFonts w:eastAsia="Times New Roman" w:cs="Times New Roman"/>
          <w:lang w:val="en-GB" w:eastAsia="hi-IN"/>
        </w:rPr>
        <w:t xml:space="preserve">Also, </w:t>
      </w:r>
      <w:r w:rsidRPr="00CF0F1C">
        <w:rPr>
          <w:rFonts w:eastAsia="Times New Roman" w:cs="Times New Roman"/>
          <w:b/>
          <w:lang w:val="en-GB" w:eastAsia="hi-IN"/>
        </w:rPr>
        <w:t>human rights experts</w:t>
      </w:r>
      <w:r w:rsidRPr="00CF0F1C">
        <w:rPr>
          <w:rFonts w:eastAsia="Times New Roman" w:cs="Times New Roman"/>
          <w:lang w:val="en-GB" w:eastAsia="hi-IN"/>
        </w:rPr>
        <w:t xml:space="preserve"> are increasingly warning of the </w:t>
      </w:r>
      <w:r w:rsidRPr="00CF0F1C">
        <w:rPr>
          <w:rFonts w:eastAsia="Times New Roman" w:cs="Times New Roman"/>
          <w:b/>
          <w:lang w:val="en-GB" w:eastAsia="hi-IN"/>
        </w:rPr>
        <w:t>harmful conflation</w:t>
      </w:r>
      <w:r w:rsidRPr="00CF0F1C">
        <w:rPr>
          <w:rFonts w:eastAsia="Times New Roman" w:cs="Times New Roman"/>
          <w:lang w:val="en-GB" w:eastAsia="hi-IN"/>
        </w:rPr>
        <w:t xml:space="preserve"> of intersex and LGBT.</w:t>
      </w:r>
      <w:r w:rsidRPr="00CF0F1C">
        <w:rPr>
          <w:rStyle w:val="Funotenzeichen"/>
          <w:rFonts w:eastAsia="Times New Roman" w:cs="Times New Roman"/>
          <w:lang w:val="en-GB" w:eastAsia="hi-IN"/>
        </w:rPr>
        <w:footnoteReference w:id="81"/>
      </w:r>
      <w:r w:rsidRPr="00CF0F1C">
        <w:rPr>
          <w:rFonts w:cs="Times New Roman"/>
          <w:lang w:val="en-GB"/>
        </w:rPr>
        <w:t xml:space="preserve"> </w:t>
      </w:r>
      <w:r w:rsidRPr="00CF0F1C">
        <w:rPr>
          <w:rStyle w:val="Funotenzeichen"/>
          <w:rFonts w:cs="Times New Roman"/>
          <w:lang w:val="en-GB"/>
        </w:rPr>
        <w:footnoteReference w:id="82"/>
      </w:r>
      <w:r>
        <w:rPr>
          <w:rFonts w:cs="Times New Roman"/>
          <w:lang w:val="en-GB"/>
        </w:rPr>
        <w:t xml:space="preserve"> </w:t>
      </w:r>
    </w:p>
    <w:p w:rsidR="00BB7681" w:rsidRDefault="00AE5854" w:rsidP="00AE5854">
      <w:pPr>
        <w:pStyle w:val="absatzschattenbericht"/>
        <w:spacing w:after="80"/>
        <w:rPr>
          <w:rFonts w:eastAsia="Times New Roman"/>
          <w:vertAlign w:val="superscript"/>
          <w:lang w:val="en-GB" w:eastAsia="hi-IN"/>
        </w:rPr>
      </w:pPr>
      <w:r>
        <w:rPr>
          <w:rFonts w:cs="Times New Roman"/>
          <w:lang w:val="en-GB"/>
        </w:rPr>
        <w:t xml:space="preserve">Nonetheless, </w:t>
      </w:r>
      <w:r w:rsidR="00BB7681">
        <w:rPr>
          <w:rFonts w:cs="Times New Roman"/>
          <w:lang w:val="en-GB"/>
        </w:rPr>
        <w:t xml:space="preserve">particularly </w:t>
      </w:r>
      <w:r w:rsidR="00BB7681" w:rsidRPr="00CF0F1C">
        <w:rPr>
          <w:rFonts w:eastAsia="Times New Roman"/>
          <w:b/>
          <w:bCs/>
          <w:lang w:val="en-GB" w:eastAsia="hi-IN"/>
        </w:rPr>
        <w:t>State parties</w:t>
      </w:r>
      <w:r w:rsidR="00BB7681" w:rsidRPr="00CF0F1C">
        <w:rPr>
          <w:rFonts w:eastAsia="Times New Roman"/>
          <w:lang w:val="en-GB" w:eastAsia="hi-IN"/>
        </w:rPr>
        <w:t xml:space="preserve"> are constantly </w:t>
      </w:r>
      <w:r w:rsidR="00BB7681" w:rsidRPr="00CF0F1C">
        <w:rPr>
          <w:rFonts w:eastAsia="Times New Roman"/>
          <w:b/>
          <w:lang w:val="en-GB" w:eastAsia="hi-IN"/>
        </w:rPr>
        <w:t xml:space="preserve">misrepresenting intersex and IGM as </w:t>
      </w:r>
      <w:r w:rsidR="001370A1" w:rsidRPr="00147025">
        <w:rPr>
          <w:rFonts w:eastAsia="Times New Roman"/>
          <w:b/>
          <w:i/>
          <w:iCs/>
          <w:lang w:val="en-GB" w:eastAsia="hi-IN"/>
        </w:rPr>
        <w:t>“</w:t>
      </w:r>
      <w:r w:rsidR="00BB7681" w:rsidRPr="00147025">
        <w:rPr>
          <w:rFonts w:eastAsia="Times New Roman"/>
          <w:b/>
          <w:i/>
          <w:iCs/>
          <w:lang w:val="en-GB" w:eastAsia="hi-IN"/>
        </w:rPr>
        <w:t>sexual orientation</w:t>
      </w:r>
      <w:r w:rsidR="001370A1" w:rsidRPr="00147025">
        <w:rPr>
          <w:rFonts w:eastAsia="Times New Roman"/>
          <w:b/>
          <w:i/>
          <w:iCs/>
          <w:lang w:val="en-GB" w:eastAsia="hi-IN"/>
        </w:rPr>
        <w:t>”</w:t>
      </w:r>
      <w:r w:rsidR="00BB7681" w:rsidRPr="00CF0F1C">
        <w:rPr>
          <w:rFonts w:eastAsia="Times New Roman"/>
          <w:b/>
          <w:lang w:val="en-GB" w:eastAsia="hi-IN"/>
        </w:rPr>
        <w:t xml:space="preserve"> or </w:t>
      </w:r>
      <w:r w:rsidR="001370A1" w:rsidRPr="00147025">
        <w:rPr>
          <w:rFonts w:eastAsia="Times New Roman"/>
          <w:b/>
          <w:i/>
          <w:iCs/>
          <w:lang w:val="en-GB" w:eastAsia="hi-IN"/>
        </w:rPr>
        <w:t>“</w:t>
      </w:r>
      <w:r w:rsidR="00BB7681" w:rsidRPr="00147025">
        <w:rPr>
          <w:rFonts w:eastAsia="Times New Roman"/>
          <w:b/>
          <w:i/>
          <w:iCs/>
          <w:lang w:val="en-GB" w:eastAsia="hi-IN"/>
        </w:rPr>
        <w:t>gender identity</w:t>
      </w:r>
      <w:r w:rsidR="00147025" w:rsidRPr="00147025">
        <w:rPr>
          <w:rFonts w:eastAsia="Times New Roman"/>
          <w:b/>
          <w:i/>
          <w:iCs/>
          <w:lang w:val="en-GB" w:eastAsia="hi-IN"/>
        </w:rPr>
        <w:t>”</w:t>
      </w:r>
      <w:r w:rsidR="00BB7681" w:rsidRPr="00CF0F1C">
        <w:rPr>
          <w:rFonts w:eastAsia="Times New Roman"/>
          <w:b/>
          <w:lang w:val="en-GB" w:eastAsia="hi-IN"/>
        </w:rPr>
        <w:t xml:space="preserve"> issues</w:t>
      </w:r>
      <w:r w:rsidR="00BB7681" w:rsidRPr="00CF0F1C">
        <w:rPr>
          <w:rFonts w:eastAsia="Times New Roman"/>
          <w:lang w:val="en-GB" w:eastAsia="hi-IN"/>
        </w:rPr>
        <w:t xml:space="preserve"> </w:t>
      </w:r>
      <w:r w:rsidR="00FE73EE">
        <w:rPr>
          <w:rFonts w:eastAsia="Times New Roman" w:cs="Times New Roman"/>
          <w:lang w:val="en-GB" w:eastAsia="hi-IN"/>
        </w:rPr>
        <w:t xml:space="preserve">during </w:t>
      </w:r>
      <w:r w:rsidR="00FE73EE" w:rsidRPr="00BB7681">
        <w:rPr>
          <w:rFonts w:eastAsia="Times New Roman" w:cs="Times New Roman"/>
          <w:b/>
          <w:bCs/>
          <w:lang w:val="en-GB" w:eastAsia="hi-IN"/>
        </w:rPr>
        <w:t>Treaty body reviews</w:t>
      </w:r>
      <w:r w:rsidR="00FE73EE" w:rsidRPr="00CF0F1C">
        <w:rPr>
          <w:rFonts w:eastAsia="Times New Roman" w:cs="Times New Roman"/>
          <w:lang w:val="en-GB" w:eastAsia="hi-IN"/>
        </w:rPr>
        <w:t xml:space="preserve"> </w:t>
      </w:r>
      <w:r w:rsidR="00BB7681" w:rsidRPr="00CF0F1C">
        <w:rPr>
          <w:rFonts w:eastAsia="Times New Roman" w:cs="Times New Roman"/>
          <w:lang w:val="en-GB" w:eastAsia="hi-IN"/>
        </w:rPr>
        <w:t xml:space="preserve">in an attempt to </w:t>
      </w:r>
      <w:r w:rsidR="00BB7681" w:rsidRPr="00CF0F1C">
        <w:rPr>
          <w:rFonts w:eastAsia="Times New Roman" w:cs="Times New Roman"/>
          <w:b/>
          <w:lang w:val="en-GB" w:eastAsia="hi-IN"/>
        </w:rPr>
        <w:t>deflect from criticism</w:t>
      </w:r>
      <w:r w:rsidR="00BB7681" w:rsidRPr="00CF0F1C">
        <w:rPr>
          <w:rFonts w:eastAsia="Times New Roman" w:cs="Times New Roman"/>
          <w:lang w:val="en-GB" w:eastAsia="hi-IN"/>
        </w:rPr>
        <w:t xml:space="preserve"> of the serious human rights violations resulting from IGM practices</w:t>
      </w:r>
      <w:r w:rsidR="00BB7681">
        <w:rPr>
          <w:rFonts w:eastAsia="Times New Roman" w:cs="Times New Roman"/>
          <w:lang w:val="en-GB" w:eastAsia="hi-IN"/>
        </w:rPr>
        <w:t>.</w:t>
      </w:r>
      <w:r w:rsidR="00BB7681" w:rsidRPr="003B0145">
        <w:rPr>
          <w:rFonts w:eastAsia="Times New Roman"/>
          <w:vertAlign w:val="superscript"/>
          <w:lang w:val="en-GB" w:eastAsia="hi-IN"/>
        </w:rPr>
        <w:footnoteReference w:id="83"/>
      </w:r>
    </w:p>
    <w:p w:rsidR="00AE5854" w:rsidRPr="00C3590A" w:rsidRDefault="00AE5854" w:rsidP="00C3590A">
      <w:pPr>
        <w:pStyle w:val="absatzschattenbericht"/>
        <w:rPr>
          <w:b/>
          <w:bCs/>
          <w:lang w:val="en-GB" w:eastAsia="hi-IN"/>
        </w:rPr>
      </w:pPr>
      <w:r w:rsidRPr="00CF0F1C">
        <w:rPr>
          <w:lang w:val="en-GB" w:eastAsia="hi-IN"/>
        </w:rPr>
        <w:t xml:space="preserve">An interrelated diversionary tactic is the </w:t>
      </w:r>
      <w:r w:rsidRPr="00CF0F1C">
        <w:rPr>
          <w:b/>
          <w:bCs/>
          <w:lang w:val="en-GB" w:eastAsia="hi-IN"/>
        </w:rPr>
        <w:t xml:space="preserve">increasing misrepresentation </w:t>
      </w:r>
      <w:r w:rsidRPr="00FE73EE">
        <w:rPr>
          <w:lang w:val="en-GB" w:eastAsia="hi-IN"/>
        </w:rPr>
        <w:t xml:space="preserve">by State parties </w:t>
      </w:r>
      <w:r w:rsidR="00147025" w:rsidRPr="00FE73EE">
        <w:rPr>
          <w:lang w:val="en-GB" w:eastAsia="hi-IN"/>
        </w:rPr>
        <w:t xml:space="preserve">and medical actors </w:t>
      </w:r>
      <w:r w:rsidRPr="00FE73EE">
        <w:rPr>
          <w:lang w:val="en-GB" w:eastAsia="hi-IN"/>
        </w:rPr>
        <w:t>of</w:t>
      </w:r>
      <w:r w:rsidRPr="00CF0F1C">
        <w:rPr>
          <w:b/>
          <w:bCs/>
          <w:lang w:val="en-GB" w:eastAsia="hi-IN"/>
        </w:rPr>
        <w:t xml:space="preserve"> IGM </w:t>
      </w:r>
      <w:r w:rsidR="00053B82" w:rsidRPr="00CF0F1C">
        <w:rPr>
          <w:b/>
          <w:bCs/>
          <w:lang w:val="en-GB" w:eastAsia="hi-IN"/>
        </w:rPr>
        <w:t xml:space="preserve">as </w:t>
      </w:r>
      <w:r w:rsidR="00053B82" w:rsidRPr="00CF0F1C">
        <w:rPr>
          <w:b/>
          <w:bCs/>
          <w:i/>
          <w:iCs/>
          <w:lang w:val="en-GB" w:eastAsia="hi-IN"/>
        </w:rPr>
        <w:t>“discrimination”</w:t>
      </w:r>
      <w:r w:rsidR="00053B82" w:rsidRPr="00CF0F1C">
        <w:rPr>
          <w:lang w:val="en-GB" w:eastAsia="hi-IN"/>
        </w:rPr>
        <w:t xml:space="preserve"> </w:t>
      </w:r>
      <w:r w:rsidR="00053B82">
        <w:rPr>
          <w:b/>
          <w:bCs/>
          <w:lang w:val="en-GB" w:eastAsia="hi-IN"/>
        </w:rPr>
        <w:t xml:space="preserve">issue </w:t>
      </w:r>
      <w:r w:rsidRPr="00CF0F1C">
        <w:rPr>
          <w:lang w:val="en-GB" w:eastAsia="hi-IN"/>
        </w:rPr>
        <w:t>instead of a serious violation of non-</w:t>
      </w:r>
      <w:proofErr w:type="spellStart"/>
      <w:r w:rsidRPr="00CF0F1C">
        <w:rPr>
          <w:lang w:val="en-GB" w:eastAsia="hi-IN"/>
        </w:rPr>
        <w:t>derogable</w:t>
      </w:r>
      <w:proofErr w:type="spellEnd"/>
      <w:r w:rsidRPr="00CF0F1C">
        <w:rPr>
          <w:lang w:val="en-GB" w:eastAsia="hi-IN"/>
        </w:rPr>
        <w:t xml:space="preserve"> human rights, often in combination with the </w:t>
      </w:r>
      <w:r w:rsidRPr="00CF0F1C">
        <w:rPr>
          <w:b/>
          <w:bCs/>
          <w:lang w:val="en-GB" w:eastAsia="hi-IN"/>
        </w:rPr>
        <w:t>misrepresentation of intersex human rights defenders</w:t>
      </w:r>
      <w:r w:rsidRPr="00CF0F1C">
        <w:rPr>
          <w:lang w:val="en-GB" w:eastAsia="hi-IN"/>
        </w:rPr>
        <w:t xml:space="preserve"> </w:t>
      </w:r>
      <w:r w:rsidRPr="00CF0F1C">
        <w:rPr>
          <w:b/>
          <w:bCs/>
          <w:lang w:val="en-GB" w:eastAsia="hi-IN"/>
        </w:rPr>
        <w:t xml:space="preserve">as </w:t>
      </w:r>
      <w:r w:rsidRPr="00053B82">
        <w:rPr>
          <w:b/>
          <w:bCs/>
          <w:lang w:val="en-GB" w:eastAsia="hi-IN"/>
        </w:rPr>
        <w:t>“fringe elements”</w:t>
      </w:r>
      <w:r w:rsidRPr="00053B82">
        <w:rPr>
          <w:lang w:val="en-GB" w:eastAsia="hi-IN"/>
        </w:rPr>
        <w:t>,</w:t>
      </w:r>
      <w:r w:rsidRPr="00CF0F1C">
        <w:rPr>
          <w:lang w:val="en-GB" w:eastAsia="hi-IN"/>
        </w:rPr>
        <w:t xml:space="preserve"> and their legitimate demands and criticism of such downgrading and trivialising of IGM </w:t>
      </w:r>
      <w:r w:rsidRPr="00053B82">
        <w:rPr>
          <w:lang w:val="en-GB" w:eastAsia="hi-IN"/>
        </w:rPr>
        <w:t>as</w:t>
      </w:r>
      <w:r w:rsidRPr="00053B82">
        <w:rPr>
          <w:b/>
          <w:bCs/>
          <w:lang w:val="en-GB" w:eastAsia="hi-IN"/>
        </w:rPr>
        <w:t xml:space="preserve"> “extreme views”</w:t>
      </w:r>
      <w:r w:rsidRPr="00053B82">
        <w:rPr>
          <w:lang w:val="en-GB" w:eastAsia="hi-IN"/>
        </w:rPr>
        <w:t>.</w:t>
      </w:r>
      <w:r w:rsidR="00BB7681" w:rsidRPr="00CF0F1C">
        <w:rPr>
          <w:rStyle w:val="Funotenzeichen"/>
          <w:rFonts w:cs="Times New Roman"/>
          <w:lang w:val="en-GB"/>
        </w:rPr>
        <w:footnoteReference w:id="84"/>
      </w:r>
    </w:p>
    <w:p w:rsidR="0000459A" w:rsidRDefault="0000459A">
      <w:pPr>
        <w:rPr>
          <w:rFonts w:ascii="Arial" w:eastAsia="Helvetica-Bold" w:hAnsi="Arial" w:cs="Arial"/>
          <w:b/>
          <w:bCs/>
          <w:iCs/>
          <w:color w:val="5E175E"/>
          <w:spacing w:val="2"/>
          <w:kern w:val="1"/>
          <w:szCs w:val="28"/>
          <w:lang w:val="en-GB" w:bidi="hi-IN"/>
        </w:rPr>
      </w:pPr>
      <w:r>
        <w:br w:type="page"/>
      </w:r>
    </w:p>
    <w:p w:rsidR="001E400B" w:rsidRPr="008E3728" w:rsidRDefault="001E400B" w:rsidP="00BE43C1">
      <w:pPr>
        <w:pStyle w:val="Title2"/>
        <w:spacing w:line="360" w:lineRule="auto"/>
        <w:jc w:val="center"/>
        <w:rPr>
          <w:sz w:val="25"/>
          <w:szCs w:val="25"/>
        </w:rPr>
      </w:pPr>
      <w:bookmarkStart w:id="16" w:name="_Toc185616877"/>
      <w:r w:rsidRPr="00F63D87">
        <w:rPr>
          <w:bCs w:val="0"/>
          <w:spacing w:val="24"/>
          <w:kern w:val="36"/>
          <w:sz w:val="36"/>
          <w:szCs w:val="36"/>
        </w:rPr>
        <w:lastRenderedPageBreak/>
        <w:t>ANNEXE</w:t>
      </w:r>
      <w:bookmarkStart w:id="17" w:name="_Toc183037380"/>
      <w:r w:rsidR="00BE43C1">
        <w:rPr>
          <w:bCs w:val="0"/>
          <w:spacing w:val="24"/>
          <w:kern w:val="36"/>
          <w:sz w:val="36"/>
          <w:szCs w:val="36"/>
        </w:rPr>
        <w:br/>
      </w:r>
      <w:r w:rsidRPr="008E3728">
        <w:rPr>
          <w:sz w:val="25"/>
          <w:szCs w:val="25"/>
        </w:rPr>
        <w:t xml:space="preserve">98 Concluding Observations </w:t>
      </w:r>
      <w:r w:rsidR="00667753">
        <w:rPr>
          <w:sz w:val="25"/>
          <w:szCs w:val="25"/>
        </w:rPr>
        <w:t>recognising</w:t>
      </w:r>
      <w:r w:rsidRPr="008E3728">
        <w:rPr>
          <w:sz w:val="25"/>
          <w:szCs w:val="25"/>
        </w:rPr>
        <w:t xml:space="preserve"> IGM practices as a serious violation</w:t>
      </w:r>
      <w:bookmarkEnd w:id="16"/>
      <w:bookmarkEnd w:id="17"/>
    </w:p>
    <w:p w:rsidR="005115DA" w:rsidRPr="005115DA" w:rsidRDefault="005115DA" w:rsidP="005115DA">
      <w:pPr>
        <w:pStyle w:val="absatzschattenbericht"/>
      </w:pPr>
      <w:r w:rsidRPr="005115DA">
        <w:t xml:space="preserve">This list contains all </w:t>
      </w:r>
      <w:r w:rsidRPr="00BA549A">
        <w:rPr>
          <w:b/>
          <w:bCs/>
        </w:rPr>
        <w:t>Treaty body Concluding Observations</w:t>
      </w:r>
      <w:r w:rsidRPr="005115DA">
        <w:t xml:space="preserve"> known to us which </w:t>
      </w:r>
      <w:proofErr w:type="spellStart"/>
      <w:r w:rsidRPr="005115DA">
        <w:t>recognise</w:t>
      </w:r>
      <w:proofErr w:type="spellEnd"/>
      <w:r w:rsidRPr="005115DA">
        <w:t xml:space="preserve"> IGM practices as a </w:t>
      </w:r>
      <w:r w:rsidRPr="00BA549A">
        <w:rPr>
          <w:b/>
          <w:bCs/>
        </w:rPr>
        <w:t>serious violation</w:t>
      </w:r>
      <w:r w:rsidRPr="005115DA">
        <w:t xml:space="preserve"> of non-</w:t>
      </w:r>
      <w:proofErr w:type="spellStart"/>
      <w:r w:rsidRPr="005115DA">
        <w:t>derogable</w:t>
      </w:r>
      <w:proofErr w:type="spellEnd"/>
      <w:r w:rsidRPr="005115DA">
        <w:t xml:space="preserve"> human rights, namely as</w:t>
      </w:r>
    </w:p>
    <w:p w:rsidR="005115DA" w:rsidRPr="00AB0048" w:rsidRDefault="005115DA" w:rsidP="000A5F2F">
      <w:pPr>
        <w:pStyle w:val="absatzschattenbericht"/>
        <w:numPr>
          <w:ilvl w:val="0"/>
          <w:numId w:val="30"/>
        </w:numPr>
        <w:rPr>
          <w:lang w:val="en-GB"/>
        </w:rPr>
      </w:pPr>
      <w:r w:rsidRPr="00AB0048">
        <w:rPr>
          <w:lang w:val="en-GB"/>
        </w:rPr>
        <w:t>a harmful practice (CRC art. 24(3), CEDAW art. 5)</w:t>
      </w:r>
    </w:p>
    <w:p w:rsidR="005115DA" w:rsidRPr="00AB0048" w:rsidRDefault="005115DA" w:rsidP="000A5F2F">
      <w:pPr>
        <w:pStyle w:val="absatzschattenbericht"/>
        <w:numPr>
          <w:ilvl w:val="0"/>
          <w:numId w:val="30"/>
        </w:numPr>
        <w:rPr>
          <w:lang w:val="en-GB"/>
        </w:rPr>
      </w:pPr>
      <w:r w:rsidRPr="00AB0048">
        <w:rPr>
          <w:lang w:val="en-GB"/>
        </w:rPr>
        <w:t>cruel, inhuman or degrading treatment (CAT art. 16, CCPR art. 7)</w:t>
      </w:r>
    </w:p>
    <w:p w:rsidR="005115DA" w:rsidRPr="00AB0048" w:rsidRDefault="005115DA" w:rsidP="000A5F2F">
      <w:pPr>
        <w:pStyle w:val="absatzschattenbericht"/>
        <w:numPr>
          <w:ilvl w:val="0"/>
          <w:numId w:val="30"/>
        </w:numPr>
        <w:rPr>
          <w:lang w:val="en-GB"/>
        </w:rPr>
      </w:pPr>
      <w:r w:rsidRPr="00AB0048">
        <w:rPr>
          <w:lang w:val="en-GB"/>
        </w:rPr>
        <w:t>a violation of the integrity of the person (CRPD art. 17)</w:t>
      </w:r>
    </w:p>
    <w:p w:rsidR="005115DA" w:rsidRPr="005115DA" w:rsidRDefault="005115DA" w:rsidP="005115DA">
      <w:pPr>
        <w:pStyle w:val="absatzschattenbericht"/>
      </w:pPr>
      <w:r w:rsidRPr="005115DA">
        <w:t xml:space="preserve">and/or </w:t>
      </w:r>
      <w:r w:rsidRPr="00BA549A">
        <w:rPr>
          <w:b/>
          <w:bCs/>
        </w:rPr>
        <w:t xml:space="preserve">explicitly </w:t>
      </w:r>
      <w:r w:rsidRPr="00B1149C">
        <w:rPr>
          <w:b/>
          <w:bCs/>
        </w:rPr>
        <w:t>call</w:t>
      </w:r>
      <w:r w:rsidRPr="005115DA">
        <w:t xml:space="preserve"> for</w:t>
      </w:r>
    </w:p>
    <w:p w:rsidR="005115DA" w:rsidRPr="005115DA" w:rsidRDefault="005115DA" w:rsidP="000A5F2F">
      <w:pPr>
        <w:pStyle w:val="absatzschattenbericht"/>
        <w:numPr>
          <w:ilvl w:val="0"/>
          <w:numId w:val="31"/>
        </w:numPr>
      </w:pPr>
      <w:r w:rsidRPr="005115DA">
        <w:t>a prohibition of IGM practices.</w:t>
      </w:r>
    </w:p>
    <w:p w:rsidR="000E4865" w:rsidRPr="000E4865" w:rsidRDefault="000E4865" w:rsidP="000E4865">
      <w:pPr>
        <w:pStyle w:val="absatzschattenbericht"/>
        <w:spacing w:after="0"/>
        <w:rPr>
          <w:sz w:val="16"/>
          <w:szCs w:val="16"/>
        </w:rPr>
      </w:pPr>
    </w:p>
    <w:p w:rsidR="00CC2E5D" w:rsidRPr="000E4865" w:rsidRDefault="000E4865" w:rsidP="005115DA">
      <w:pPr>
        <w:pStyle w:val="absatzschattenbericht"/>
        <w:rPr>
          <w:i/>
          <w:iCs/>
        </w:rPr>
      </w:pPr>
      <w:r w:rsidRPr="000E4865">
        <w:rPr>
          <w:i/>
          <w:iCs/>
        </w:rPr>
        <w:t xml:space="preserve">Order: by Committee according to the total number of </w:t>
      </w:r>
      <w:proofErr w:type="spellStart"/>
      <w:r w:rsidRPr="000E4865">
        <w:rPr>
          <w:i/>
          <w:iCs/>
        </w:rPr>
        <w:t>Concl</w:t>
      </w:r>
      <w:proofErr w:type="spellEnd"/>
      <w:r w:rsidRPr="000E4865">
        <w:rPr>
          <w:i/>
          <w:iCs/>
        </w:rPr>
        <w:t xml:space="preserve"> </w:t>
      </w:r>
      <w:proofErr w:type="spellStart"/>
      <w:r w:rsidRPr="000E4865">
        <w:rPr>
          <w:i/>
          <w:iCs/>
        </w:rPr>
        <w:t>Obs</w:t>
      </w:r>
      <w:proofErr w:type="spellEnd"/>
      <w:r w:rsidRPr="000E4865">
        <w:rPr>
          <w:i/>
          <w:iCs/>
        </w:rPr>
        <w:t>, then chronologically</w:t>
      </w:r>
      <w:r>
        <w:rPr>
          <w:i/>
          <w:iCs/>
        </w:rPr>
        <w:t>.</w:t>
      </w:r>
    </w:p>
    <w:p w:rsidR="000E4865" w:rsidRPr="005115DA" w:rsidRDefault="000E4865" w:rsidP="005115DA">
      <w:pPr>
        <w:pStyle w:val="absatzschattenbericht"/>
      </w:pPr>
    </w:p>
    <w:p w:rsidR="0089484A" w:rsidRPr="00D92463" w:rsidRDefault="00CC2E5D" w:rsidP="00D92463">
      <w:pPr>
        <w:spacing w:after="115"/>
        <w:rPr>
          <w:rFonts w:ascii="Arial" w:hAnsi="Arial" w:cs="Arial"/>
          <w:b/>
          <w:sz w:val="26"/>
          <w:szCs w:val="26"/>
        </w:rPr>
      </w:pPr>
      <w:r w:rsidRPr="0089484A">
        <w:rPr>
          <w:rFonts w:ascii="Arial" w:hAnsi="Arial" w:cs="Arial"/>
          <w:b/>
          <w:sz w:val="26"/>
          <w:szCs w:val="26"/>
        </w:rPr>
        <w:t xml:space="preserve">CRC     40 </w:t>
      </w:r>
      <w:proofErr w:type="spellStart"/>
      <w:r w:rsidRPr="0089484A">
        <w:rPr>
          <w:rFonts w:ascii="Arial" w:hAnsi="Arial" w:cs="Arial"/>
          <w:b/>
          <w:sz w:val="26"/>
          <w:szCs w:val="26"/>
        </w:rPr>
        <w:t>Concluding</w:t>
      </w:r>
      <w:proofErr w:type="spellEnd"/>
      <w:r w:rsidRPr="0089484A">
        <w:rPr>
          <w:rFonts w:ascii="Arial" w:hAnsi="Arial" w:cs="Arial"/>
          <w:b/>
          <w:sz w:val="26"/>
          <w:szCs w:val="26"/>
        </w:rPr>
        <w:t xml:space="preserve"> </w:t>
      </w:r>
      <w:proofErr w:type="spellStart"/>
      <w:r w:rsidRPr="0089484A">
        <w:rPr>
          <w:rFonts w:ascii="Arial" w:hAnsi="Arial" w:cs="Arial"/>
          <w:b/>
          <w:sz w:val="26"/>
          <w:szCs w:val="26"/>
        </w:rPr>
        <w:t>Observations</w:t>
      </w:r>
      <w:proofErr w:type="spellEnd"/>
    </w:p>
    <w:tbl>
      <w:tblPr>
        <w:tblW w:w="9634" w:type="dxa"/>
        <w:tblInd w:w="75" w:type="dxa"/>
        <w:tblLayout w:type="fixed"/>
        <w:tblCellMar>
          <w:left w:w="70" w:type="dxa"/>
          <w:right w:w="70" w:type="dxa"/>
        </w:tblCellMar>
        <w:tblLook w:val="04A0" w:firstRow="1" w:lastRow="0" w:firstColumn="1" w:lastColumn="0" w:noHBand="0" w:noVBand="1"/>
      </w:tblPr>
      <w:tblGrid>
        <w:gridCol w:w="830"/>
        <w:gridCol w:w="2203"/>
        <w:gridCol w:w="6601"/>
      </w:tblGrid>
      <w:tr w:rsidR="007037B1" w:rsidRPr="00E737B5" w:rsidTr="005050BA">
        <w:trPr>
          <w:trHeight w:val="4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2015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proofErr w:type="spellStart"/>
            <w:r w:rsidRPr="007037B1">
              <w:rPr>
                <w:rFonts w:ascii="Arial" w:hAnsi="Arial" w:cs="Arial"/>
                <w:color w:val="000000"/>
                <w:sz w:val="22"/>
                <w:szCs w:val="22"/>
              </w:rPr>
              <w:t>Switzerland</w:t>
            </w:r>
            <w:proofErr w:type="spellEnd"/>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CRC/C/CHE/CO/2-4, </w:t>
            </w:r>
            <w:proofErr w:type="spellStart"/>
            <w:r w:rsidRPr="007037B1">
              <w:rPr>
                <w:rFonts w:ascii="Arial" w:hAnsi="Arial" w:cs="Arial"/>
                <w:color w:val="000000"/>
                <w:sz w:val="22"/>
                <w:szCs w:val="22"/>
              </w:rPr>
              <w:t>paras</w:t>
            </w:r>
            <w:proofErr w:type="spellEnd"/>
            <w:r w:rsidRPr="007037B1">
              <w:rPr>
                <w:rFonts w:ascii="Arial" w:hAnsi="Arial" w:cs="Arial"/>
                <w:color w:val="000000"/>
                <w:sz w:val="22"/>
                <w:szCs w:val="22"/>
              </w:rPr>
              <w:t xml:space="preserve"> 42-43</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2015</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Chile</w:t>
            </w:r>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CRC/C/CHL/CO/4-5, </w:t>
            </w:r>
            <w:proofErr w:type="spellStart"/>
            <w:r w:rsidRPr="007037B1">
              <w:rPr>
                <w:rFonts w:ascii="Arial" w:hAnsi="Arial" w:cs="Arial"/>
                <w:color w:val="000000"/>
                <w:sz w:val="22"/>
                <w:szCs w:val="22"/>
              </w:rPr>
              <w:t>paras</w:t>
            </w:r>
            <w:proofErr w:type="spellEnd"/>
            <w:r w:rsidRPr="007037B1">
              <w:rPr>
                <w:rFonts w:ascii="Arial" w:hAnsi="Arial" w:cs="Arial"/>
                <w:color w:val="000000"/>
                <w:sz w:val="22"/>
                <w:szCs w:val="22"/>
              </w:rPr>
              <w:t xml:space="preserve"> 48-49</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2016</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France</w:t>
            </w:r>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CRC/C/FRA/CO/5, </w:t>
            </w:r>
            <w:proofErr w:type="spellStart"/>
            <w:r w:rsidRPr="007037B1">
              <w:rPr>
                <w:rFonts w:ascii="Arial" w:hAnsi="Arial" w:cs="Arial"/>
                <w:color w:val="000000"/>
                <w:sz w:val="22"/>
                <w:szCs w:val="22"/>
              </w:rPr>
              <w:t>paras</w:t>
            </w:r>
            <w:proofErr w:type="spellEnd"/>
            <w:r w:rsidRPr="007037B1">
              <w:rPr>
                <w:rFonts w:ascii="Arial" w:hAnsi="Arial" w:cs="Arial"/>
                <w:color w:val="000000"/>
                <w:sz w:val="22"/>
                <w:szCs w:val="22"/>
              </w:rPr>
              <w:t xml:space="preserve"> 47-48</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2016</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proofErr w:type="spellStart"/>
            <w:r w:rsidRPr="007037B1">
              <w:rPr>
                <w:rFonts w:ascii="Arial" w:hAnsi="Arial" w:cs="Arial"/>
                <w:color w:val="000000"/>
                <w:sz w:val="22"/>
                <w:szCs w:val="22"/>
              </w:rPr>
              <w:t>Ireland</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CRC/C/IRL/CO/3-4, </w:t>
            </w:r>
            <w:proofErr w:type="spellStart"/>
            <w:r w:rsidRPr="007037B1">
              <w:rPr>
                <w:rFonts w:ascii="Arial" w:hAnsi="Arial" w:cs="Arial"/>
                <w:color w:val="000000"/>
                <w:sz w:val="22"/>
                <w:szCs w:val="22"/>
              </w:rPr>
              <w:t>paras</w:t>
            </w:r>
            <w:proofErr w:type="spellEnd"/>
            <w:r w:rsidRPr="007037B1">
              <w:rPr>
                <w:rFonts w:ascii="Arial" w:hAnsi="Arial" w:cs="Arial"/>
                <w:color w:val="000000"/>
                <w:sz w:val="22"/>
                <w:szCs w:val="22"/>
              </w:rPr>
              <w:t xml:space="preserve"> 39-40</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2016</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Nepal</w:t>
            </w:r>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CRC/C/NPL/CO/3-5, </w:t>
            </w:r>
            <w:proofErr w:type="spellStart"/>
            <w:r w:rsidRPr="007037B1">
              <w:rPr>
                <w:rFonts w:ascii="Arial" w:hAnsi="Arial" w:cs="Arial"/>
                <w:color w:val="000000"/>
                <w:sz w:val="22"/>
                <w:szCs w:val="22"/>
              </w:rPr>
              <w:t>paras</w:t>
            </w:r>
            <w:proofErr w:type="spellEnd"/>
            <w:r w:rsidRPr="007037B1">
              <w:rPr>
                <w:rFonts w:ascii="Arial" w:hAnsi="Arial" w:cs="Arial"/>
                <w:color w:val="000000"/>
                <w:sz w:val="22"/>
                <w:szCs w:val="22"/>
              </w:rPr>
              <w:t xml:space="preserve"> 41-42</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2016</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UK</w:t>
            </w:r>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CRC/C/GBR/CO/5, </w:t>
            </w:r>
            <w:proofErr w:type="spellStart"/>
            <w:r w:rsidRPr="007037B1">
              <w:rPr>
                <w:rFonts w:ascii="Arial" w:hAnsi="Arial" w:cs="Arial"/>
                <w:color w:val="000000"/>
                <w:sz w:val="22"/>
                <w:szCs w:val="22"/>
              </w:rPr>
              <w:t>paras</w:t>
            </w:r>
            <w:proofErr w:type="spellEnd"/>
            <w:r w:rsidRPr="007037B1">
              <w:rPr>
                <w:rFonts w:ascii="Arial" w:hAnsi="Arial" w:cs="Arial"/>
                <w:color w:val="000000"/>
                <w:sz w:val="22"/>
                <w:szCs w:val="22"/>
              </w:rPr>
              <w:t xml:space="preserve"> 46-47 </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2016</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New </w:t>
            </w:r>
            <w:proofErr w:type="spellStart"/>
            <w:r w:rsidRPr="007037B1">
              <w:rPr>
                <w:rFonts w:ascii="Arial" w:hAnsi="Arial" w:cs="Arial"/>
                <w:color w:val="000000"/>
                <w:sz w:val="22"/>
                <w:szCs w:val="22"/>
              </w:rPr>
              <w:t>Zealand</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CRC/C/NZL/CO/5, </w:t>
            </w:r>
            <w:proofErr w:type="spellStart"/>
            <w:r w:rsidRPr="007037B1">
              <w:rPr>
                <w:rFonts w:ascii="Arial" w:hAnsi="Arial" w:cs="Arial"/>
                <w:color w:val="000000"/>
                <w:sz w:val="22"/>
                <w:szCs w:val="22"/>
              </w:rPr>
              <w:t>paras</w:t>
            </w:r>
            <w:proofErr w:type="spellEnd"/>
            <w:r w:rsidRPr="007037B1">
              <w:rPr>
                <w:rFonts w:ascii="Arial" w:hAnsi="Arial" w:cs="Arial"/>
                <w:color w:val="000000"/>
                <w:sz w:val="22"/>
                <w:szCs w:val="22"/>
              </w:rPr>
              <w:t xml:space="preserve"> 25+15</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2016</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South </w:t>
            </w:r>
            <w:proofErr w:type="spellStart"/>
            <w:r w:rsidRPr="007037B1">
              <w:rPr>
                <w:rFonts w:ascii="Arial" w:hAnsi="Arial" w:cs="Arial"/>
                <w:color w:val="000000"/>
                <w:sz w:val="22"/>
                <w:szCs w:val="22"/>
              </w:rPr>
              <w:t>Africa</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CRC/C/ZAF/CO/2, </w:t>
            </w:r>
            <w:proofErr w:type="spellStart"/>
            <w:r w:rsidRPr="007037B1">
              <w:rPr>
                <w:rFonts w:ascii="Arial" w:hAnsi="Arial" w:cs="Arial"/>
                <w:color w:val="000000"/>
                <w:sz w:val="22"/>
                <w:szCs w:val="22"/>
              </w:rPr>
              <w:t>paras</w:t>
            </w:r>
            <w:proofErr w:type="spellEnd"/>
            <w:r w:rsidRPr="007037B1">
              <w:rPr>
                <w:rFonts w:ascii="Arial" w:hAnsi="Arial" w:cs="Arial"/>
                <w:color w:val="000000"/>
                <w:sz w:val="22"/>
                <w:szCs w:val="22"/>
              </w:rPr>
              <w:t xml:space="preserve"> 39-40+23-24</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2017</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proofErr w:type="spellStart"/>
            <w:r w:rsidRPr="007037B1">
              <w:rPr>
                <w:rFonts w:ascii="Arial" w:hAnsi="Arial" w:cs="Arial"/>
                <w:color w:val="000000"/>
                <w:sz w:val="22"/>
                <w:szCs w:val="22"/>
              </w:rPr>
              <w:t>Denmark</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CRC/C/DNK/CO/5, </w:t>
            </w:r>
            <w:proofErr w:type="spellStart"/>
            <w:r w:rsidRPr="007037B1">
              <w:rPr>
                <w:rFonts w:ascii="Arial" w:hAnsi="Arial" w:cs="Arial"/>
                <w:color w:val="000000"/>
                <w:sz w:val="22"/>
                <w:szCs w:val="22"/>
              </w:rPr>
              <w:t>paras</w:t>
            </w:r>
            <w:proofErr w:type="spellEnd"/>
            <w:r w:rsidRPr="007037B1">
              <w:rPr>
                <w:rFonts w:ascii="Arial" w:hAnsi="Arial" w:cs="Arial"/>
                <w:color w:val="000000"/>
                <w:sz w:val="22"/>
                <w:szCs w:val="22"/>
              </w:rPr>
              <w:t xml:space="preserve"> 24+12</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2018</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Spain</w:t>
            </w:r>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CRC/C/ESP/CO/5-6,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24 </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2018</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proofErr w:type="spellStart"/>
            <w:r w:rsidRPr="007037B1">
              <w:rPr>
                <w:rFonts w:ascii="Arial" w:hAnsi="Arial" w:cs="Arial"/>
                <w:color w:val="000000"/>
                <w:sz w:val="22"/>
                <w:szCs w:val="22"/>
              </w:rPr>
              <w:t>Argentina</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CRC/C/ARG/CO/5-6,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26</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2019</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proofErr w:type="spellStart"/>
            <w:r w:rsidRPr="007037B1">
              <w:rPr>
                <w:rFonts w:ascii="Arial" w:hAnsi="Arial" w:cs="Arial"/>
                <w:color w:val="000000"/>
                <w:sz w:val="22"/>
                <w:szCs w:val="22"/>
              </w:rPr>
              <w:t>Belgium</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CRC/C/BEL/CO/5-6, </w:t>
            </w:r>
            <w:proofErr w:type="spellStart"/>
            <w:r w:rsidRPr="007037B1">
              <w:rPr>
                <w:rFonts w:ascii="Arial" w:hAnsi="Arial" w:cs="Arial"/>
                <w:color w:val="000000"/>
                <w:sz w:val="22"/>
                <w:szCs w:val="22"/>
              </w:rPr>
              <w:t>paras</w:t>
            </w:r>
            <w:proofErr w:type="spellEnd"/>
            <w:r w:rsidRPr="007037B1">
              <w:rPr>
                <w:rFonts w:ascii="Arial" w:hAnsi="Arial" w:cs="Arial"/>
                <w:color w:val="000000"/>
                <w:sz w:val="22"/>
                <w:szCs w:val="22"/>
              </w:rPr>
              <w:t xml:space="preserve"> 25(b)+26(e)</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2019</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proofErr w:type="spellStart"/>
            <w:r w:rsidRPr="007037B1">
              <w:rPr>
                <w:rFonts w:ascii="Arial" w:hAnsi="Arial" w:cs="Arial"/>
                <w:color w:val="000000"/>
                <w:sz w:val="22"/>
                <w:szCs w:val="22"/>
              </w:rPr>
              <w:t>Italy</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CRC/C/ITA/CO/5-6,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23 </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2019</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Malta</w:t>
            </w:r>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CRC/C/MLT/CO/3-6, </w:t>
            </w:r>
            <w:proofErr w:type="spellStart"/>
            <w:r w:rsidRPr="007037B1">
              <w:rPr>
                <w:rFonts w:ascii="Arial" w:hAnsi="Arial" w:cs="Arial"/>
                <w:color w:val="000000"/>
                <w:sz w:val="22"/>
                <w:szCs w:val="22"/>
              </w:rPr>
              <w:t>paras</w:t>
            </w:r>
            <w:proofErr w:type="spellEnd"/>
            <w:r w:rsidRPr="007037B1">
              <w:rPr>
                <w:rFonts w:ascii="Arial" w:hAnsi="Arial" w:cs="Arial"/>
                <w:color w:val="000000"/>
                <w:sz w:val="22"/>
                <w:szCs w:val="22"/>
              </w:rPr>
              <w:t xml:space="preserve"> 28(b)+29(d)+(e) </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2019</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proofErr w:type="spellStart"/>
            <w:r w:rsidRPr="007037B1">
              <w:rPr>
                <w:rFonts w:ascii="Arial" w:hAnsi="Arial" w:cs="Arial"/>
                <w:color w:val="000000"/>
                <w:sz w:val="22"/>
                <w:szCs w:val="22"/>
              </w:rPr>
              <w:t>Australia</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CRC/C/AUS/CO/5-6,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31(b) </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2019</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Portugal</w:t>
            </w:r>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CRC/C/PRT/CO/5-6, </w:t>
            </w:r>
            <w:proofErr w:type="spellStart"/>
            <w:r w:rsidRPr="007037B1">
              <w:rPr>
                <w:rFonts w:ascii="Arial" w:hAnsi="Arial" w:cs="Arial"/>
                <w:color w:val="000000"/>
                <w:sz w:val="22"/>
                <w:szCs w:val="22"/>
              </w:rPr>
              <w:t>paras</w:t>
            </w:r>
            <w:proofErr w:type="spellEnd"/>
            <w:r w:rsidRPr="007037B1">
              <w:rPr>
                <w:rFonts w:ascii="Arial" w:hAnsi="Arial" w:cs="Arial"/>
                <w:color w:val="000000"/>
                <w:sz w:val="22"/>
                <w:szCs w:val="22"/>
              </w:rPr>
              <w:t xml:space="preserve"> 28(b) </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2020</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Austria</w:t>
            </w:r>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CRC/C/AUT/CO/5-6,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27(a)-(b) </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2021</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Luxembourg</w:t>
            </w:r>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CRC/C/LUX/CO/5-6, </w:t>
            </w:r>
            <w:proofErr w:type="spellStart"/>
            <w:r w:rsidRPr="007037B1">
              <w:rPr>
                <w:rFonts w:ascii="Arial" w:hAnsi="Arial" w:cs="Arial"/>
                <w:color w:val="000000"/>
                <w:sz w:val="22"/>
                <w:szCs w:val="22"/>
              </w:rPr>
              <w:t>paras</w:t>
            </w:r>
            <w:proofErr w:type="spellEnd"/>
            <w:r w:rsidRPr="007037B1">
              <w:rPr>
                <w:rFonts w:ascii="Arial" w:hAnsi="Arial" w:cs="Arial"/>
                <w:color w:val="000000"/>
                <w:sz w:val="22"/>
                <w:szCs w:val="22"/>
              </w:rPr>
              <w:t xml:space="preserve"> 13+19</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2021</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proofErr w:type="spellStart"/>
            <w:r w:rsidRPr="007037B1">
              <w:rPr>
                <w:rFonts w:ascii="Arial" w:hAnsi="Arial" w:cs="Arial"/>
                <w:color w:val="000000"/>
                <w:sz w:val="22"/>
                <w:szCs w:val="22"/>
              </w:rPr>
              <w:t>Tunisia</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CRC/C/TUN/CO/4-6,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26, 14(c)+15(c) </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2021</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proofErr w:type="spellStart"/>
            <w:r w:rsidRPr="007037B1">
              <w:rPr>
                <w:rFonts w:ascii="Arial" w:hAnsi="Arial" w:cs="Arial"/>
                <w:color w:val="000000"/>
                <w:sz w:val="22"/>
                <w:szCs w:val="22"/>
              </w:rPr>
              <w:t>Switzerland</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CRC/C/CHE/CO/5-6,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29(b)+(c) </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lastRenderedPageBreak/>
              <w:t>2021</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proofErr w:type="spellStart"/>
            <w:r w:rsidRPr="007037B1">
              <w:rPr>
                <w:rFonts w:ascii="Arial" w:hAnsi="Arial" w:cs="Arial"/>
                <w:color w:val="000000"/>
                <w:sz w:val="22"/>
                <w:szCs w:val="22"/>
              </w:rPr>
              <w:t>Czechia</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CRC/C/CZE/CO/5-6,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28</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2022</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proofErr w:type="spellStart"/>
            <w:r w:rsidRPr="007037B1">
              <w:rPr>
                <w:rFonts w:ascii="Arial" w:hAnsi="Arial" w:cs="Arial"/>
                <w:color w:val="000000"/>
                <w:sz w:val="22"/>
                <w:szCs w:val="22"/>
              </w:rPr>
              <w:t>Netherlands</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CRC/C/NLD/CO/5-6,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23</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2022</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Chile</w:t>
            </w:r>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CRC/C/CHL/CO/6-7,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22</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2022</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proofErr w:type="spellStart"/>
            <w:r w:rsidRPr="007037B1">
              <w:rPr>
                <w:rFonts w:ascii="Arial" w:hAnsi="Arial" w:cs="Arial"/>
                <w:color w:val="000000"/>
                <w:sz w:val="22"/>
                <w:szCs w:val="22"/>
              </w:rPr>
              <w:t>Croatia</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CRC/C/HRV/CO/5-6,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26(b)</w:t>
            </w:r>
            <w:proofErr w:type="gramStart"/>
            <w:r w:rsidRPr="007037B1">
              <w:rPr>
                <w:rFonts w:ascii="Arial" w:hAnsi="Arial" w:cs="Arial"/>
                <w:color w:val="000000"/>
                <w:sz w:val="22"/>
                <w:szCs w:val="22"/>
              </w:rPr>
              <w:t>+(</w:t>
            </w:r>
            <w:proofErr w:type="gramEnd"/>
            <w:r w:rsidRPr="007037B1">
              <w:rPr>
                <w:rFonts w:ascii="Arial" w:hAnsi="Arial" w:cs="Arial"/>
                <w:color w:val="000000"/>
                <w:sz w:val="22"/>
                <w:szCs w:val="22"/>
              </w:rPr>
              <w:t>c</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2022</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Canada</w:t>
            </w:r>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CRC/C/CAN/CO/5-6,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29</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2022</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proofErr w:type="spellStart"/>
            <w:r w:rsidRPr="007037B1">
              <w:rPr>
                <w:rFonts w:ascii="Arial" w:hAnsi="Arial" w:cs="Arial"/>
                <w:color w:val="000000"/>
                <w:sz w:val="22"/>
                <w:szCs w:val="22"/>
              </w:rPr>
              <w:t>Iceland</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CRC/C/ISL/CO/5-6,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26(b)+(c)</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2022</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proofErr w:type="spellStart"/>
            <w:r w:rsidRPr="007037B1">
              <w:rPr>
                <w:rFonts w:ascii="Arial" w:hAnsi="Arial" w:cs="Arial"/>
                <w:color w:val="000000"/>
                <w:sz w:val="22"/>
                <w:szCs w:val="22"/>
              </w:rPr>
              <w:t>Cyprus</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CRC/C/CYP/CO/5-6,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25(b)</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2022</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proofErr w:type="spellStart"/>
            <w:r w:rsidRPr="007037B1">
              <w:rPr>
                <w:rFonts w:ascii="Arial" w:hAnsi="Arial" w:cs="Arial"/>
                <w:color w:val="000000"/>
                <w:sz w:val="22"/>
                <w:szCs w:val="22"/>
              </w:rPr>
              <w:t>Zambia</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CRC/C/ZMB/CO/5-7,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25(c) </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2022</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proofErr w:type="spellStart"/>
            <w:r w:rsidRPr="007037B1">
              <w:rPr>
                <w:rFonts w:ascii="Arial" w:hAnsi="Arial" w:cs="Arial"/>
                <w:color w:val="000000"/>
                <w:sz w:val="22"/>
                <w:szCs w:val="22"/>
              </w:rPr>
              <w:t>Greece</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CRC/C/GRC/CO/4-6,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28(c)</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2022</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Germany</w:t>
            </w:r>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CRC/C/DEU/CO/5-6,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24(c)</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2022</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North </w:t>
            </w:r>
            <w:proofErr w:type="spellStart"/>
            <w:r w:rsidRPr="007037B1">
              <w:rPr>
                <w:rFonts w:ascii="Arial" w:hAnsi="Arial" w:cs="Arial"/>
                <w:color w:val="000000"/>
                <w:sz w:val="22"/>
                <w:szCs w:val="22"/>
              </w:rPr>
              <w:t>Macedonia</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CRC/C/MKD/CO/3-6, 26(b) </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2023</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New </w:t>
            </w:r>
            <w:proofErr w:type="spellStart"/>
            <w:r w:rsidRPr="007037B1">
              <w:rPr>
                <w:rFonts w:ascii="Arial" w:hAnsi="Arial" w:cs="Arial"/>
                <w:color w:val="000000"/>
                <w:sz w:val="22"/>
                <w:szCs w:val="22"/>
              </w:rPr>
              <w:t>Zealand</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CRC/C/NZL/CO/6,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25(b)-(c)</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2023</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proofErr w:type="spellStart"/>
            <w:r w:rsidRPr="007037B1">
              <w:rPr>
                <w:rFonts w:ascii="Arial" w:hAnsi="Arial" w:cs="Arial"/>
                <w:color w:val="000000"/>
                <w:sz w:val="22"/>
                <w:szCs w:val="22"/>
              </w:rPr>
              <w:t>Sweden</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CRC/C/SWE/CO/6-7,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27(c)-(d)</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2023</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UK</w:t>
            </w:r>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CRC/C/GBR/CO/6-7,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35(d)</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2023</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Liechtenstein</w:t>
            </w:r>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CRC/C/LIE/CO/3-4,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24 (b)+(c)</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2023</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proofErr w:type="spellStart"/>
            <w:r w:rsidRPr="007037B1">
              <w:rPr>
                <w:rFonts w:ascii="Arial" w:hAnsi="Arial" w:cs="Arial"/>
                <w:color w:val="000000"/>
                <w:sz w:val="22"/>
                <w:szCs w:val="22"/>
              </w:rPr>
              <w:t>Finland</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CRC/C/FIN/CO/5-6, </w:t>
            </w:r>
            <w:proofErr w:type="spellStart"/>
            <w:r w:rsidRPr="007037B1">
              <w:rPr>
                <w:rFonts w:ascii="Arial" w:hAnsi="Arial" w:cs="Arial"/>
                <w:color w:val="000000"/>
                <w:sz w:val="22"/>
                <w:szCs w:val="22"/>
              </w:rPr>
              <w:t>paras</w:t>
            </w:r>
            <w:proofErr w:type="spellEnd"/>
            <w:r w:rsidRPr="007037B1">
              <w:rPr>
                <w:rFonts w:ascii="Arial" w:hAnsi="Arial" w:cs="Arial"/>
                <w:color w:val="000000"/>
                <w:sz w:val="22"/>
                <w:szCs w:val="22"/>
              </w:rPr>
              <w:t xml:space="preserve"> 24(a)+(b)</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2023</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France</w:t>
            </w:r>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CRC/C/FRA/CO/6-7, </w:t>
            </w:r>
            <w:proofErr w:type="spellStart"/>
            <w:r w:rsidRPr="007037B1">
              <w:rPr>
                <w:rFonts w:ascii="Arial" w:hAnsi="Arial" w:cs="Arial"/>
                <w:color w:val="000000"/>
                <w:sz w:val="22"/>
                <w:szCs w:val="22"/>
              </w:rPr>
              <w:t>paras</w:t>
            </w:r>
            <w:proofErr w:type="spellEnd"/>
            <w:r w:rsidRPr="007037B1">
              <w:rPr>
                <w:rFonts w:ascii="Arial" w:hAnsi="Arial" w:cs="Arial"/>
                <w:color w:val="000000"/>
                <w:sz w:val="22"/>
                <w:szCs w:val="22"/>
              </w:rPr>
              <w:t xml:space="preserve"> 30(b)+(c) </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2024</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South </w:t>
            </w:r>
            <w:proofErr w:type="spellStart"/>
            <w:r w:rsidRPr="007037B1">
              <w:rPr>
                <w:rFonts w:ascii="Arial" w:hAnsi="Arial" w:cs="Arial"/>
                <w:color w:val="000000"/>
                <w:sz w:val="22"/>
                <w:szCs w:val="22"/>
              </w:rPr>
              <w:t>Africa</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CRC/C/ZAF/CO/3-6,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27(h)</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2024</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proofErr w:type="spellStart"/>
            <w:r w:rsidRPr="007037B1">
              <w:rPr>
                <w:rFonts w:ascii="Arial" w:hAnsi="Arial" w:cs="Arial"/>
                <w:color w:val="000000"/>
                <w:sz w:val="22"/>
                <w:szCs w:val="22"/>
              </w:rPr>
              <w:t>Bulgaria</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CRC/C/BGR/CO/6-7,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27(b)-(c) </w:t>
            </w:r>
          </w:p>
        </w:tc>
      </w:tr>
      <w:tr w:rsidR="007037B1"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037B1" w:rsidRPr="007037B1" w:rsidRDefault="007037B1" w:rsidP="007037B1">
            <w:pPr>
              <w:jc w:val="center"/>
              <w:rPr>
                <w:rFonts w:ascii="Arial" w:hAnsi="Arial" w:cs="Arial"/>
                <w:color w:val="000000"/>
                <w:sz w:val="22"/>
                <w:szCs w:val="22"/>
              </w:rPr>
            </w:pPr>
            <w:r w:rsidRPr="007037B1">
              <w:rPr>
                <w:rFonts w:ascii="Arial" w:hAnsi="Arial" w:cs="Arial"/>
                <w:color w:val="000000"/>
                <w:sz w:val="22"/>
                <w:szCs w:val="22"/>
              </w:rPr>
              <w:t>2024</w:t>
            </w:r>
          </w:p>
        </w:tc>
        <w:tc>
          <w:tcPr>
            <w:tcW w:w="2268"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proofErr w:type="spellStart"/>
            <w:r w:rsidRPr="007037B1">
              <w:rPr>
                <w:rFonts w:ascii="Arial" w:hAnsi="Arial" w:cs="Arial"/>
                <w:color w:val="000000"/>
                <w:sz w:val="22"/>
                <w:szCs w:val="22"/>
              </w:rPr>
              <w:t>Argentina</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7037B1" w:rsidRPr="007037B1" w:rsidRDefault="007037B1" w:rsidP="007037B1">
            <w:pPr>
              <w:rPr>
                <w:rFonts w:ascii="Arial" w:hAnsi="Arial" w:cs="Arial"/>
                <w:color w:val="000000"/>
                <w:sz w:val="22"/>
                <w:szCs w:val="22"/>
              </w:rPr>
            </w:pPr>
            <w:r w:rsidRPr="007037B1">
              <w:rPr>
                <w:rFonts w:ascii="Arial" w:hAnsi="Arial" w:cs="Arial"/>
                <w:color w:val="000000"/>
                <w:sz w:val="22"/>
                <w:szCs w:val="22"/>
              </w:rPr>
              <w:t xml:space="preserve">CRC/C/ARG/CO/7, </w:t>
            </w:r>
            <w:proofErr w:type="spellStart"/>
            <w:r w:rsidRPr="007037B1">
              <w:rPr>
                <w:rFonts w:ascii="Arial" w:hAnsi="Arial" w:cs="Arial"/>
                <w:color w:val="000000"/>
                <w:sz w:val="22"/>
                <w:szCs w:val="22"/>
              </w:rPr>
              <w:t>para</w:t>
            </w:r>
            <w:proofErr w:type="spellEnd"/>
            <w:r w:rsidRPr="007037B1">
              <w:rPr>
                <w:rFonts w:ascii="Arial" w:hAnsi="Arial" w:cs="Arial"/>
                <w:color w:val="000000"/>
                <w:sz w:val="22"/>
                <w:szCs w:val="22"/>
              </w:rPr>
              <w:t xml:space="preserve"> 39</w:t>
            </w:r>
          </w:p>
        </w:tc>
      </w:tr>
    </w:tbl>
    <w:p w:rsidR="0002098C" w:rsidRDefault="0002098C" w:rsidP="0089484A"/>
    <w:p w:rsidR="00346321" w:rsidRDefault="00346321" w:rsidP="0089484A"/>
    <w:p w:rsidR="0002098C" w:rsidRPr="00FF3428" w:rsidRDefault="00057F91" w:rsidP="00FF3428">
      <w:pPr>
        <w:spacing w:after="115"/>
        <w:rPr>
          <w:rFonts w:ascii="Arial" w:hAnsi="Arial" w:cs="Arial"/>
          <w:b/>
          <w:sz w:val="26"/>
          <w:szCs w:val="26"/>
        </w:rPr>
      </w:pPr>
      <w:r w:rsidRPr="0089484A">
        <w:rPr>
          <w:rFonts w:ascii="Arial" w:hAnsi="Arial" w:cs="Arial"/>
          <w:b/>
          <w:sz w:val="26"/>
          <w:szCs w:val="26"/>
        </w:rPr>
        <w:t xml:space="preserve">CRPD     17 </w:t>
      </w:r>
      <w:proofErr w:type="spellStart"/>
      <w:r w:rsidRPr="0089484A">
        <w:rPr>
          <w:rFonts w:ascii="Arial" w:hAnsi="Arial" w:cs="Arial"/>
          <w:b/>
          <w:sz w:val="26"/>
          <w:szCs w:val="26"/>
        </w:rPr>
        <w:t>Concluding</w:t>
      </w:r>
      <w:proofErr w:type="spellEnd"/>
      <w:r w:rsidRPr="0089484A">
        <w:rPr>
          <w:rFonts w:ascii="Arial" w:hAnsi="Arial" w:cs="Arial"/>
          <w:b/>
          <w:sz w:val="26"/>
          <w:szCs w:val="26"/>
        </w:rPr>
        <w:t xml:space="preserve"> </w:t>
      </w:r>
      <w:proofErr w:type="spellStart"/>
      <w:r w:rsidRPr="0089484A">
        <w:rPr>
          <w:rFonts w:ascii="Arial" w:hAnsi="Arial" w:cs="Arial"/>
          <w:b/>
          <w:sz w:val="26"/>
          <w:szCs w:val="26"/>
        </w:rPr>
        <w:t>Observations</w:t>
      </w:r>
      <w:proofErr w:type="spellEnd"/>
    </w:p>
    <w:tbl>
      <w:tblPr>
        <w:tblW w:w="9634" w:type="dxa"/>
        <w:tblInd w:w="75" w:type="dxa"/>
        <w:tblLayout w:type="fixed"/>
        <w:tblCellMar>
          <w:left w:w="70" w:type="dxa"/>
          <w:right w:w="70" w:type="dxa"/>
        </w:tblCellMar>
        <w:tblLook w:val="04A0" w:firstRow="1" w:lastRow="0" w:firstColumn="1" w:lastColumn="0" w:noHBand="0" w:noVBand="1"/>
      </w:tblPr>
      <w:tblGrid>
        <w:gridCol w:w="830"/>
        <w:gridCol w:w="2203"/>
        <w:gridCol w:w="6601"/>
      </w:tblGrid>
      <w:tr w:rsidR="00FF3428" w:rsidRPr="00E737B5" w:rsidTr="005050BA">
        <w:trPr>
          <w:trHeight w:val="4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28" w:rsidRPr="0002098C" w:rsidRDefault="00FF3428" w:rsidP="0002098C">
            <w:pPr>
              <w:jc w:val="center"/>
              <w:rPr>
                <w:rFonts w:ascii="Arial" w:hAnsi="Arial" w:cs="Arial"/>
                <w:color w:val="000000"/>
                <w:sz w:val="22"/>
                <w:szCs w:val="22"/>
              </w:rPr>
            </w:pPr>
            <w:r w:rsidRPr="0002098C">
              <w:rPr>
                <w:rFonts w:ascii="Arial" w:hAnsi="Arial" w:cs="Arial"/>
                <w:color w:val="000000"/>
                <w:sz w:val="22"/>
                <w:szCs w:val="22"/>
              </w:rPr>
              <w:t>2015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Germany</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 xml:space="preserve">CRPD/C/DEU/CO/1,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37-38</w:t>
            </w:r>
          </w:p>
        </w:tc>
      </w:tr>
      <w:tr w:rsidR="00FF3428"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F3428" w:rsidRPr="0002098C" w:rsidRDefault="00FF3428" w:rsidP="0002098C">
            <w:pPr>
              <w:jc w:val="center"/>
              <w:rPr>
                <w:rFonts w:ascii="Arial" w:hAnsi="Arial" w:cs="Arial"/>
                <w:color w:val="000000"/>
                <w:sz w:val="22"/>
                <w:szCs w:val="22"/>
              </w:rPr>
            </w:pPr>
            <w:r w:rsidRPr="0002098C">
              <w:rPr>
                <w:rFonts w:ascii="Arial" w:hAnsi="Arial" w:cs="Arial"/>
                <w:color w:val="000000"/>
                <w:sz w:val="22"/>
                <w:szCs w:val="22"/>
              </w:rPr>
              <w:t>2016</w:t>
            </w:r>
          </w:p>
        </w:tc>
        <w:tc>
          <w:tcPr>
            <w:tcW w:w="2268"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Chile</w:t>
            </w:r>
          </w:p>
        </w:tc>
        <w:tc>
          <w:tcPr>
            <w:tcW w:w="6804"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 xml:space="preserve">CRPD/C/CHL/CO/1,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41-42</w:t>
            </w:r>
          </w:p>
        </w:tc>
      </w:tr>
      <w:tr w:rsidR="00FF3428"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F3428" w:rsidRPr="0002098C" w:rsidRDefault="00FF3428" w:rsidP="0002098C">
            <w:pPr>
              <w:jc w:val="center"/>
              <w:rPr>
                <w:rFonts w:ascii="Arial" w:hAnsi="Arial" w:cs="Arial"/>
                <w:color w:val="000000"/>
                <w:sz w:val="22"/>
                <w:szCs w:val="22"/>
              </w:rPr>
            </w:pPr>
            <w:r w:rsidRPr="0002098C">
              <w:rPr>
                <w:rFonts w:ascii="Arial" w:hAnsi="Arial" w:cs="Arial"/>
                <w:color w:val="000000"/>
                <w:sz w:val="22"/>
                <w:szCs w:val="22"/>
              </w:rPr>
              <w:t>2016</w:t>
            </w:r>
          </w:p>
        </w:tc>
        <w:tc>
          <w:tcPr>
            <w:tcW w:w="2268"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Uruguay</w:t>
            </w:r>
          </w:p>
        </w:tc>
        <w:tc>
          <w:tcPr>
            <w:tcW w:w="6804"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 xml:space="preserve">CRPD/C/URY/CO/1, </w:t>
            </w:r>
            <w:proofErr w:type="spellStart"/>
            <w:r w:rsidRPr="0002098C">
              <w:rPr>
                <w:rFonts w:ascii="Arial" w:hAnsi="Arial" w:cs="Arial"/>
                <w:color w:val="000000"/>
                <w:sz w:val="22"/>
                <w:szCs w:val="22"/>
              </w:rPr>
              <w:t>para</w:t>
            </w:r>
            <w:proofErr w:type="spellEnd"/>
            <w:r w:rsidRPr="0002098C">
              <w:rPr>
                <w:rFonts w:ascii="Arial" w:hAnsi="Arial" w:cs="Arial"/>
                <w:color w:val="000000"/>
                <w:sz w:val="22"/>
                <w:szCs w:val="22"/>
              </w:rPr>
              <w:t xml:space="preserve"> 44</w:t>
            </w:r>
          </w:p>
        </w:tc>
      </w:tr>
      <w:tr w:rsidR="00FF3428"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F3428" w:rsidRPr="0002098C" w:rsidRDefault="00FF3428" w:rsidP="0002098C">
            <w:pPr>
              <w:jc w:val="center"/>
              <w:rPr>
                <w:rFonts w:ascii="Arial" w:hAnsi="Arial" w:cs="Arial"/>
                <w:color w:val="000000"/>
                <w:sz w:val="22"/>
                <w:szCs w:val="22"/>
              </w:rPr>
            </w:pPr>
            <w:r w:rsidRPr="0002098C">
              <w:rPr>
                <w:rFonts w:ascii="Arial" w:hAnsi="Arial" w:cs="Arial"/>
                <w:color w:val="000000"/>
                <w:sz w:val="22"/>
                <w:szCs w:val="22"/>
              </w:rPr>
              <w:t>2016</w:t>
            </w:r>
          </w:p>
        </w:tc>
        <w:tc>
          <w:tcPr>
            <w:tcW w:w="2268"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proofErr w:type="spellStart"/>
            <w:r w:rsidRPr="0002098C">
              <w:rPr>
                <w:rFonts w:ascii="Arial" w:hAnsi="Arial" w:cs="Arial"/>
                <w:color w:val="000000"/>
                <w:sz w:val="22"/>
                <w:szCs w:val="22"/>
              </w:rPr>
              <w:t>Italy</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 xml:space="preserve">CRPD/C/ITA/CO/1,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45-46</w:t>
            </w:r>
          </w:p>
        </w:tc>
      </w:tr>
      <w:tr w:rsidR="00FF3428"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F3428" w:rsidRPr="0002098C" w:rsidRDefault="00FF3428" w:rsidP="0002098C">
            <w:pPr>
              <w:jc w:val="center"/>
              <w:rPr>
                <w:rFonts w:ascii="Arial" w:hAnsi="Arial" w:cs="Arial"/>
                <w:color w:val="000000"/>
                <w:sz w:val="22"/>
                <w:szCs w:val="22"/>
              </w:rPr>
            </w:pPr>
            <w:r w:rsidRPr="0002098C">
              <w:rPr>
                <w:rFonts w:ascii="Arial" w:hAnsi="Arial" w:cs="Arial"/>
                <w:color w:val="000000"/>
                <w:sz w:val="22"/>
                <w:szCs w:val="22"/>
              </w:rPr>
              <w:t>2017</w:t>
            </w:r>
          </w:p>
        </w:tc>
        <w:tc>
          <w:tcPr>
            <w:tcW w:w="2268"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proofErr w:type="spellStart"/>
            <w:r w:rsidRPr="0002098C">
              <w:rPr>
                <w:rFonts w:ascii="Arial" w:hAnsi="Arial" w:cs="Arial"/>
                <w:color w:val="000000"/>
                <w:sz w:val="22"/>
                <w:szCs w:val="22"/>
              </w:rPr>
              <w:t>Morocco</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 xml:space="preserve">CRPD/C/MAR/CO/1,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36-37</w:t>
            </w:r>
          </w:p>
        </w:tc>
      </w:tr>
      <w:tr w:rsidR="00FF3428"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F3428" w:rsidRPr="0002098C" w:rsidRDefault="00FF3428" w:rsidP="0002098C">
            <w:pPr>
              <w:jc w:val="center"/>
              <w:rPr>
                <w:rFonts w:ascii="Arial" w:hAnsi="Arial" w:cs="Arial"/>
                <w:color w:val="000000"/>
                <w:sz w:val="22"/>
                <w:szCs w:val="22"/>
              </w:rPr>
            </w:pPr>
            <w:r w:rsidRPr="0002098C">
              <w:rPr>
                <w:rFonts w:ascii="Arial" w:hAnsi="Arial" w:cs="Arial"/>
                <w:color w:val="000000"/>
                <w:sz w:val="22"/>
                <w:szCs w:val="22"/>
              </w:rPr>
              <w:t>2017</w:t>
            </w:r>
          </w:p>
        </w:tc>
        <w:tc>
          <w:tcPr>
            <w:tcW w:w="2268"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UK</w:t>
            </w:r>
          </w:p>
        </w:tc>
        <w:tc>
          <w:tcPr>
            <w:tcW w:w="6804"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 xml:space="preserve">CRPD/C/GBR/CO/1,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10(a)-11(a), 38-41 </w:t>
            </w:r>
          </w:p>
        </w:tc>
      </w:tr>
      <w:tr w:rsidR="00FF3428"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F3428" w:rsidRPr="0002098C" w:rsidRDefault="00FF3428" w:rsidP="0002098C">
            <w:pPr>
              <w:jc w:val="center"/>
              <w:rPr>
                <w:rFonts w:ascii="Arial" w:hAnsi="Arial" w:cs="Arial"/>
                <w:color w:val="000000"/>
                <w:sz w:val="22"/>
                <w:szCs w:val="22"/>
              </w:rPr>
            </w:pPr>
            <w:r w:rsidRPr="0002098C">
              <w:rPr>
                <w:rFonts w:ascii="Arial" w:hAnsi="Arial" w:cs="Arial"/>
                <w:color w:val="000000"/>
                <w:sz w:val="22"/>
                <w:szCs w:val="22"/>
              </w:rPr>
              <w:t>2019</w:t>
            </w:r>
          </w:p>
        </w:tc>
        <w:tc>
          <w:tcPr>
            <w:tcW w:w="2268"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proofErr w:type="spellStart"/>
            <w:r w:rsidRPr="0002098C">
              <w:rPr>
                <w:rFonts w:ascii="Arial" w:hAnsi="Arial" w:cs="Arial"/>
                <w:color w:val="000000"/>
                <w:sz w:val="22"/>
                <w:szCs w:val="22"/>
              </w:rPr>
              <w:t>Australia</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 xml:space="preserve">CRPD/C/AUS/CO/2-3,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33(b)+34(b)</w:t>
            </w:r>
          </w:p>
        </w:tc>
      </w:tr>
      <w:tr w:rsidR="00FF3428"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F3428" w:rsidRPr="0002098C" w:rsidRDefault="00FF3428" w:rsidP="0002098C">
            <w:pPr>
              <w:jc w:val="center"/>
              <w:rPr>
                <w:rFonts w:ascii="Arial" w:hAnsi="Arial" w:cs="Arial"/>
                <w:color w:val="000000"/>
                <w:sz w:val="22"/>
                <w:szCs w:val="22"/>
              </w:rPr>
            </w:pPr>
            <w:r w:rsidRPr="0002098C">
              <w:rPr>
                <w:rFonts w:ascii="Arial" w:hAnsi="Arial" w:cs="Arial"/>
                <w:color w:val="000000"/>
                <w:sz w:val="22"/>
                <w:szCs w:val="22"/>
              </w:rPr>
              <w:t>2019</w:t>
            </w:r>
          </w:p>
        </w:tc>
        <w:tc>
          <w:tcPr>
            <w:tcW w:w="2268"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proofErr w:type="spellStart"/>
            <w:r w:rsidRPr="0002098C">
              <w:rPr>
                <w:rFonts w:ascii="Arial" w:hAnsi="Arial" w:cs="Arial"/>
                <w:color w:val="000000"/>
                <w:sz w:val="22"/>
                <w:szCs w:val="22"/>
              </w:rPr>
              <w:t>India</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 xml:space="preserve">CRPD/C/IND/CO/1,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21-22, 35(c)+36(c) </w:t>
            </w:r>
          </w:p>
        </w:tc>
      </w:tr>
      <w:tr w:rsidR="00FF3428"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F3428" w:rsidRPr="0002098C" w:rsidRDefault="00FF3428" w:rsidP="0002098C">
            <w:pPr>
              <w:jc w:val="center"/>
              <w:rPr>
                <w:rFonts w:ascii="Arial" w:hAnsi="Arial" w:cs="Arial"/>
                <w:color w:val="000000"/>
                <w:sz w:val="22"/>
                <w:szCs w:val="22"/>
              </w:rPr>
            </w:pPr>
            <w:r w:rsidRPr="0002098C">
              <w:rPr>
                <w:rFonts w:ascii="Arial" w:hAnsi="Arial" w:cs="Arial"/>
                <w:color w:val="000000"/>
                <w:sz w:val="22"/>
                <w:szCs w:val="22"/>
              </w:rPr>
              <w:t>2021</w:t>
            </w:r>
          </w:p>
        </w:tc>
        <w:tc>
          <w:tcPr>
            <w:tcW w:w="2268"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France</w:t>
            </w:r>
          </w:p>
        </w:tc>
        <w:tc>
          <w:tcPr>
            <w:tcW w:w="6804"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 xml:space="preserve">CRPD/C/FRA/CO/1,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36(c)+37(c) </w:t>
            </w:r>
          </w:p>
        </w:tc>
      </w:tr>
      <w:tr w:rsidR="00FF3428"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F3428" w:rsidRPr="0002098C" w:rsidRDefault="00FF3428" w:rsidP="0002098C">
            <w:pPr>
              <w:jc w:val="center"/>
              <w:rPr>
                <w:rFonts w:ascii="Arial" w:hAnsi="Arial" w:cs="Arial"/>
                <w:color w:val="000000"/>
                <w:sz w:val="22"/>
                <w:szCs w:val="22"/>
              </w:rPr>
            </w:pPr>
            <w:r w:rsidRPr="0002098C">
              <w:rPr>
                <w:rFonts w:ascii="Arial" w:hAnsi="Arial" w:cs="Arial"/>
                <w:color w:val="000000"/>
                <w:sz w:val="22"/>
                <w:szCs w:val="22"/>
              </w:rPr>
              <w:t>2022</w:t>
            </w:r>
          </w:p>
        </w:tc>
        <w:tc>
          <w:tcPr>
            <w:tcW w:w="2268"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proofErr w:type="spellStart"/>
            <w:r w:rsidRPr="0002098C">
              <w:rPr>
                <w:rFonts w:ascii="Arial" w:hAnsi="Arial" w:cs="Arial"/>
                <w:color w:val="000000"/>
                <w:sz w:val="22"/>
                <w:szCs w:val="22"/>
              </w:rPr>
              <w:t>Switzerland</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 xml:space="preserve">CRPD/C/CHE/CO/1,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35(c)+36(c), 10(a)</w:t>
            </w:r>
          </w:p>
        </w:tc>
      </w:tr>
      <w:tr w:rsidR="00FF3428"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F3428" w:rsidRPr="0002098C" w:rsidRDefault="00FF3428" w:rsidP="0002098C">
            <w:pPr>
              <w:jc w:val="center"/>
              <w:rPr>
                <w:rFonts w:ascii="Arial" w:hAnsi="Arial" w:cs="Arial"/>
                <w:color w:val="000000"/>
                <w:sz w:val="22"/>
                <w:szCs w:val="22"/>
              </w:rPr>
            </w:pPr>
            <w:r w:rsidRPr="0002098C">
              <w:rPr>
                <w:rFonts w:ascii="Arial" w:hAnsi="Arial" w:cs="Arial"/>
                <w:color w:val="000000"/>
                <w:sz w:val="22"/>
                <w:szCs w:val="22"/>
              </w:rPr>
              <w:t>2022</w:t>
            </w:r>
          </w:p>
        </w:tc>
        <w:tc>
          <w:tcPr>
            <w:tcW w:w="2268"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 xml:space="preserve">New </w:t>
            </w:r>
            <w:proofErr w:type="spellStart"/>
            <w:r w:rsidRPr="0002098C">
              <w:rPr>
                <w:rFonts w:ascii="Arial" w:hAnsi="Arial" w:cs="Arial"/>
                <w:color w:val="000000"/>
                <w:sz w:val="22"/>
                <w:szCs w:val="22"/>
              </w:rPr>
              <w:t>Zealand</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 xml:space="preserve">CRPD/C/NZL/CO/2-3,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35(b)+(d), 36(b</w:t>
            </w:r>
            <w:proofErr w:type="gramStart"/>
            <w:r w:rsidRPr="0002098C">
              <w:rPr>
                <w:rFonts w:ascii="Arial" w:hAnsi="Arial" w:cs="Arial"/>
                <w:color w:val="000000"/>
                <w:sz w:val="22"/>
                <w:szCs w:val="22"/>
              </w:rPr>
              <w:t>),(</w:t>
            </w:r>
            <w:proofErr w:type="gramEnd"/>
            <w:r w:rsidRPr="0002098C">
              <w:rPr>
                <w:rFonts w:ascii="Arial" w:hAnsi="Arial" w:cs="Arial"/>
                <w:color w:val="000000"/>
                <w:sz w:val="22"/>
                <w:szCs w:val="22"/>
              </w:rPr>
              <w:t>c),(f)</w:t>
            </w:r>
          </w:p>
        </w:tc>
      </w:tr>
      <w:tr w:rsidR="00FF3428"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F3428" w:rsidRPr="0002098C" w:rsidRDefault="00FF3428" w:rsidP="0002098C">
            <w:pPr>
              <w:jc w:val="center"/>
              <w:rPr>
                <w:rFonts w:ascii="Arial" w:hAnsi="Arial" w:cs="Arial"/>
                <w:color w:val="000000"/>
                <w:sz w:val="22"/>
                <w:szCs w:val="22"/>
              </w:rPr>
            </w:pPr>
            <w:r w:rsidRPr="0002098C">
              <w:rPr>
                <w:rFonts w:ascii="Arial" w:hAnsi="Arial" w:cs="Arial"/>
                <w:color w:val="000000"/>
                <w:sz w:val="22"/>
                <w:szCs w:val="22"/>
              </w:rPr>
              <w:lastRenderedPageBreak/>
              <w:t>2023</w:t>
            </w:r>
          </w:p>
        </w:tc>
        <w:tc>
          <w:tcPr>
            <w:tcW w:w="2268"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Austria</w:t>
            </w:r>
          </w:p>
        </w:tc>
        <w:tc>
          <w:tcPr>
            <w:tcW w:w="6804"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 xml:space="preserve">CRPD/C/AUT/CO/2-3,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37-38, 69-70</w:t>
            </w:r>
          </w:p>
        </w:tc>
      </w:tr>
      <w:tr w:rsidR="00FF3428"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F3428" w:rsidRPr="0002098C" w:rsidRDefault="00FF3428" w:rsidP="0002098C">
            <w:pPr>
              <w:jc w:val="center"/>
              <w:rPr>
                <w:rFonts w:ascii="Arial" w:hAnsi="Arial" w:cs="Arial"/>
                <w:color w:val="000000"/>
                <w:sz w:val="22"/>
                <w:szCs w:val="22"/>
              </w:rPr>
            </w:pPr>
            <w:r w:rsidRPr="0002098C">
              <w:rPr>
                <w:rFonts w:ascii="Arial" w:hAnsi="Arial" w:cs="Arial"/>
                <w:color w:val="000000"/>
                <w:sz w:val="22"/>
                <w:szCs w:val="22"/>
              </w:rPr>
              <w:t>2023</w:t>
            </w:r>
          </w:p>
        </w:tc>
        <w:tc>
          <w:tcPr>
            <w:tcW w:w="2268"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Germany</w:t>
            </w:r>
          </w:p>
        </w:tc>
        <w:tc>
          <w:tcPr>
            <w:tcW w:w="6804"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 xml:space="preserve">CRPD/C/DEU/CO/2-3,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39-40</w:t>
            </w:r>
          </w:p>
        </w:tc>
      </w:tr>
      <w:tr w:rsidR="00FF3428"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F3428" w:rsidRPr="0002098C" w:rsidRDefault="00FF3428" w:rsidP="0002098C">
            <w:pPr>
              <w:jc w:val="center"/>
              <w:rPr>
                <w:rFonts w:ascii="Arial" w:hAnsi="Arial" w:cs="Arial"/>
                <w:color w:val="000000"/>
                <w:sz w:val="22"/>
                <w:szCs w:val="22"/>
              </w:rPr>
            </w:pPr>
            <w:r w:rsidRPr="0002098C">
              <w:rPr>
                <w:rFonts w:ascii="Arial" w:hAnsi="Arial" w:cs="Arial"/>
                <w:color w:val="000000"/>
                <w:sz w:val="22"/>
                <w:szCs w:val="22"/>
              </w:rPr>
              <w:t>2023</w:t>
            </w:r>
          </w:p>
        </w:tc>
        <w:tc>
          <w:tcPr>
            <w:tcW w:w="2268"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Israel</w:t>
            </w:r>
          </w:p>
        </w:tc>
        <w:tc>
          <w:tcPr>
            <w:tcW w:w="6804"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 xml:space="preserve">CRPD/C/ISR/CO/1,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39-40 </w:t>
            </w:r>
          </w:p>
        </w:tc>
      </w:tr>
      <w:tr w:rsidR="00FF3428"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F3428" w:rsidRPr="0002098C" w:rsidRDefault="00FF3428" w:rsidP="0002098C">
            <w:pPr>
              <w:jc w:val="center"/>
              <w:rPr>
                <w:rFonts w:ascii="Arial" w:hAnsi="Arial" w:cs="Arial"/>
                <w:color w:val="000000"/>
                <w:sz w:val="22"/>
                <w:szCs w:val="22"/>
              </w:rPr>
            </w:pPr>
            <w:r w:rsidRPr="0002098C">
              <w:rPr>
                <w:rFonts w:ascii="Arial" w:hAnsi="Arial" w:cs="Arial"/>
                <w:color w:val="000000"/>
                <w:sz w:val="22"/>
                <w:szCs w:val="22"/>
              </w:rPr>
              <w:t>2024</w:t>
            </w:r>
          </w:p>
        </w:tc>
        <w:tc>
          <w:tcPr>
            <w:tcW w:w="2268"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proofErr w:type="spellStart"/>
            <w:r w:rsidRPr="0002098C">
              <w:rPr>
                <w:rFonts w:ascii="Arial" w:hAnsi="Arial" w:cs="Arial"/>
                <w:color w:val="000000"/>
                <w:sz w:val="22"/>
                <w:szCs w:val="22"/>
              </w:rPr>
              <w:t>Sweden</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 xml:space="preserve">CRPD/C/SWE/CO/2-3,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39-40</w:t>
            </w:r>
          </w:p>
        </w:tc>
      </w:tr>
      <w:tr w:rsidR="00FF3428"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F3428" w:rsidRPr="0002098C" w:rsidRDefault="00FF3428" w:rsidP="0002098C">
            <w:pPr>
              <w:jc w:val="center"/>
              <w:rPr>
                <w:rFonts w:ascii="Arial" w:hAnsi="Arial" w:cs="Arial"/>
                <w:color w:val="000000"/>
                <w:sz w:val="22"/>
                <w:szCs w:val="22"/>
              </w:rPr>
            </w:pPr>
            <w:r w:rsidRPr="0002098C">
              <w:rPr>
                <w:rFonts w:ascii="Arial" w:hAnsi="Arial" w:cs="Arial"/>
                <w:color w:val="000000"/>
                <w:sz w:val="22"/>
                <w:szCs w:val="22"/>
              </w:rPr>
              <w:t>2024</w:t>
            </w:r>
          </w:p>
        </w:tc>
        <w:tc>
          <w:tcPr>
            <w:tcW w:w="2268"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proofErr w:type="spellStart"/>
            <w:r w:rsidRPr="0002098C">
              <w:rPr>
                <w:rFonts w:ascii="Arial" w:hAnsi="Arial" w:cs="Arial"/>
                <w:color w:val="000000"/>
                <w:sz w:val="22"/>
                <w:szCs w:val="22"/>
              </w:rPr>
              <w:t>Netherlands</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 xml:space="preserve">CRPD/C/NLD/CO/1,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39(a)-(</w:t>
            </w:r>
            <w:proofErr w:type="gramStart"/>
            <w:r w:rsidRPr="0002098C">
              <w:rPr>
                <w:rFonts w:ascii="Arial" w:hAnsi="Arial" w:cs="Arial"/>
                <w:color w:val="000000"/>
                <w:sz w:val="22"/>
                <w:szCs w:val="22"/>
              </w:rPr>
              <w:t>b)+</w:t>
            </w:r>
            <w:proofErr w:type="gramEnd"/>
            <w:r w:rsidRPr="0002098C">
              <w:rPr>
                <w:rFonts w:ascii="Arial" w:hAnsi="Arial" w:cs="Arial"/>
                <w:color w:val="000000"/>
                <w:sz w:val="22"/>
                <w:szCs w:val="22"/>
              </w:rPr>
              <w:t>40(a)-(b)</w:t>
            </w:r>
          </w:p>
        </w:tc>
      </w:tr>
      <w:tr w:rsidR="00FF3428" w:rsidRPr="00E737B5" w:rsidTr="005050BA">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F3428" w:rsidRPr="0002098C" w:rsidRDefault="00FF3428" w:rsidP="0002098C">
            <w:pPr>
              <w:jc w:val="center"/>
              <w:rPr>
                <w:rFonts w:ascii="Arial" w:hAnsi="Arial" w:cs="Arial"/>
                <w:color w:val="000000"/>
                <w:sz w:val="22"/>
                <w:szCs w:val="22"/>
              </w:rPr>
            </w:pPr>
            <w:r w:rsidRPr="0002098C">
              <w:rPr>
                <w:rFonts w:ascii="Arial" w:hAnsi="Arial" w:cs="Arial"/>
                <w:color w:val="000000"/>
                <w:sz w:val="22"/>
                <w:szCs w:val="22"/>
              </w:rPr>
              <w:t>2024</w:t>
            </w:r>
          </w:p>
        </w:tc>
        <w:tc>
          <w:tcPr>
            <w:tcW w:w="2268"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proofErr w:type="spellStart"/>
            <w:r w:rsidRPr="0002098C">
              <w:rPr>
                <w:rFonts w:ascii="Arial" w:hAnsi="Arial" w:cs="Arial"/>
                <w:color w:val="000000"/>
                <w:sz w:val="22"/>
                <w:szCs w:val="22"/>
              </w:rPr>
              <w:t>Belgium</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FF3428" w:rsidRPr="0002098C" w:rsidRDefault="00FF3428" w:rsidP="0002098C">
            <w:pPr>
              <w:rPr>
                <w:rFonts w:ascii="Arial" w:hAnsi="Arial" w:cs="Arial"/>
                <w:color w:val="000000"/>
                <w:sz w:val="22"/>
                <w:szCs w:val="22"/>
              </w:rPr>
            </w:pPr>
            <w:r w:rsidRPr="0002098C">
              <w:rPr>
                <w:rFonts w:ascii="Arial" w:hAnsi="Arial" w:cs="Arial"/>
                <w:color w:val="000000"/>
                <w:sz w:val="22"/>
                <w:szCs w:val="22"/>
              </w:rPr>
              <w:t xml:space="preserve">CRPD/C/BEL/CO/2-3,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34(c)+35(c) </w:t>
            </w:r>
          </w:p>
        </w:tc>
      </w:tr>
    </w:tbl>
    <w:p w:rsidR="0002098C" w:rsidRDefault="0002098C" w:rsidP="0089484A"/>
    <w:p w:rsidR="0089484A" w:rsidRDefault="0089484A" w:rsidP="0089484A"/>
    <w:p w:rsidR="0002098C" w:rsidRPr="0002098C" w:rsidRDefault="00940DCC" w:rsidP="0002098C">
      <w:pPr>
        <w:spacing w:after="115"/>
        <w:rPr>
          <w:rFonts w:ascii="Arial" w:hAnsi="Arial" w:cs="Arial"/>
          <w:b/>
          <w:sz w:val="26"/>
          <w:szCs w:val="26"/>
        </w:rPr>
      </w:pPr>
      <w:r w:rsidRPr="0089484A">
        <w:rPr>
          <w:rFonts w:ascii="Arial" w:hAnsi="Arial" w:cs="Arial"/>
          <w:b/>
          <w:sz w:val="26"/>
          <w:szCs w:val="26"/>
        </w:rPr>
        <w:t xml:space="preserve">CEDAW     15 </w:t>
      </w:r>
      <w:proofErr w:type="spellStart"/>
      <w:r w:rsidRPr="0089484A">
        <w:rPr>
          <w:rFonts w:ascii="Arial" w:hAnsi="Arial" w:cs="Arial"/>
          <w:b/>
          <w:sz w:val="26"/>
          <w:szCs w:val="26"/>
        </w:rPr>
        <w:t>Concluding</w:t>
      </w:r>
      <w:proofErr w:type="spellEnd"/>
      <w:r w:rsidRPr="0089484A">
        <w:rPr>
          <w:rFonts w:ascii="Arial" w:hAnsi="Arial" w:cs="Arial"/>
          <w:b/>
          <w:sz w:val="26"/>
          <w:szCs w:val="26"/>
        </w:rPr>
        <w:t xml:space="preserve"> </w:t>
      </w:r>
      <w:proofErr w:type="spellStart"/>
      <w:r w:rsidRPr="0089484A">
        <w:rPr>
          <w:rFonts w:ascii="Arial" w:hAnsi="Arial" w:cs="Arial"/>
          <w:b/>
          <w:sz w:val="26"/>
          <w:szCs w:val="26"/>
        </w:rPr>
        <w:t>Observations</w:t>
      </w:r>
      <w:proofErr w:type="spellEnd"/>
    </w:p>
    <w:tbl>
      <w:tblPr>
        <w:tblW w:w="9634" w:type="dxa"/>
        <w:tblInd w:w="75" w:type="dxa"/>
        <w:tblLayout w:type="fixed"/>
        <w:tblCellMar>
          <w:left w:w="70" w:type="dxa"/>
          <w:right w:w="70" w:type="dxa"/>
        </w:tblCellMar>
        <w:tblLook w:val="04A0" w:firstRow="1" w:lastRow="0" w:firstColumn="1" w:lastColumn="0" w:noHBand="0" w:noVBand="1"/>
      </w:tblPr>
      <w:tblGrid>
        <w:gridCol w:w="825"/>
        <w:gridCol w:w="2205"/>
        <w:gridCol w:w="6604"/>
      </w:tblGrid>
      <w:tr w:rsidR="0002098C" w:rsidRPr="00E737B5" w:rsidTr="005050BA">
        <w:trPr>
          <w:trHeight w:val="4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2016</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France</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CEDAW/C/FRA/CO/7-8,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18(e)-(</w:t>
            </w:r>
            <w:proofErr w:type="gramStart"/>
            <w:r w:rsidRPr="0002098C">
              <w:rPr>
                <w:rFonts w:ascii="Arial" w:hAnsi="Arial" w:cs="Arial"/>
                <w:color w:val="000000"/>
                <w:sz w:val="22"/>
                <w:szCs w:val="22"/>
              </w:rPr>
              <w:t>f)+</w:t>
            </w:r>
            <w:proofErr w:type="gramEnd"/>
            <w:r w:rsidRPr="0002098C">
              <w:rPr>
                <w:rFonts w:ascii="Arial" w:hAnsi="Arial" w:cs="Arial"/>
                <w:color w:val="000000"/>
                <w:sz w:val="22"/>
                <w:szCs w:val="22"/>
              </w:rPr>
              <w:t xml:space="preserve">19(e)-(f) </w:t>
            </w:r>
          </w:p>
        </w:tc>
      </w:tr>
      <w:tr w:rsidR="0002098C"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2016</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proofErr w:type="spellStart"/>
            <w:r w:rsidRPr="0002098C">
              <w:rPr>
                <w:rFonts w:ascii="Arial" w:hAnsi="Arial" w:cs="Arial"/>
                <w:color w:val="000000"/>
                <w:sz w:val="22"/>
                <w:szCs w:val="22"/>
              </w:rPr>
              <w:t>Netherlands</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CEDAW/C/NLD/CO/6,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21-22, 23-24</w:t>
            </w:r>
          </w:p>
        </w:tc>
      </w:tr>
      <w:tr w:rsidR="0002098C"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2016</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proofErr w:type="spellStart"/>
            <w:r w:rsidRPr="0002098C">
              <w:rPr>
                <w:rFonts w:ascii="Arial" w:hAnsi="Arial" w:cs="Arial"/>
                <w:color w:val="000000"/>
                <w:sz w:val="22"/>
                <w:szCs w:val="22"/>
              </w:rPr>
              <w:t>Switzerland</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CEDAW/C/CHE/CO/4-5,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24-25, 38-39</w:t>
            </w:r>
          </w:p>
        </w:tc>
      </w:tr>
      <w:tr w:rsidR="0002098C"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2017</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Germany</w:t>
            </w:r>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CEDAW/C/DEU/CO/7-8,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23-24</w:t>
            </w:r>
          </w:p>
        </w:tc>
      </w:tr>
      <w:tr w:rsidR="0002098C"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2017</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proofErr w:type="spellStart"/>
            <w:r w:rsidRPr="0002098C">
              <w:rPr>
                <w:rFonts w:ascii="Arial" w:hAnsi="Arial" w:cs="Arial"/>
                <w:color w:val="000000"/>
                <w:sz w:val="22"/>
                <w:szCs w:val="22"/>
              </w:rPr>
              <w:t>Ireland</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CEDAW/C/IRL/CO/6-7,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24-25</w:t>
            </w:r>
          </w:p>
        </w:tc>
      </w:tr>
      <w:tr w:rsidR="0002098C"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2018</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Chile</w:t>
            </w:r>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CEDAW/C/CHL/CO/7,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22-23, 21, 12(d)-13(d), 14(d)-15(d)</w:t>
            </w:r>
          </w:p>
        </w:tc>
      </w:tr>
      <w:tr w:rsidR="0002098C"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2018</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Luxembourg</w:t>
            </w:r>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CEDAW/C/LUX/CO/6-7,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27(b)+28(b)-(c), 45(e)+46(e) </w:t>
            </w:r>
          </w:p>
        </w:tc>
      </w:tr>
      <w:tr w:rsidR="0002098C"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2018</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proofErr w:type="spellStart"/>
            <w:r w:rsidRPr="0002098C">
              <w:rPr>
                <w:rFonts w:ascii="Arial" w:hAnsi="Arial" w:cs="Arial"/>
                <w:color w:val="000000"/>
                <w:sz w:val="22"/>
                <w:szCs w:val="22"/>
              </w:rPr>
              <w:t>Australia</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CEDAW/C/AUS/CO/8,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25(c)-26(c) </w:t>
            </w:r>
          </w:p>
        </w:tc>
      </w:tr>
      <w:tr w:rsidR="0002098C"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2018</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Mexico</w:t>
            </w:r>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CEDAW/C/MEX/CO/9, </w:t>
            </w:r>
            <w:proofErr w:type="spellStart"/>
            <w:r w:rsidRPr="0002098C">
              <w:rPr>
                <w:rFonts w:ascii="Arial" w:hAnsi="Arial" w:cs="Arial"/>
                <w:color w:val="000000"/>
                <w:sz w:val="22"/>
                <w:szCs w:val="22"/>
              </w:rPr>
              <w:t>para</w:t>
            </w:r>
            <w:proofErr w:type="spellEnd"/>
            <w:r w:rsidRPr="0002098C">
              <w:rPr>
                <w:rFonts w:ascii="Arial" w:hAnsi="Arial" w:cs="Arial"/>
                <w:color w:val="000000"/>
                <w:sz w:val="22"/>
                <w:szCs w:val="22"/>
              </w:rPr>
              <w:t xml:space="preserve"> 21-22</w:t>
            </w:r>
          </w:p>
        </w:tc>
      </w:tr>
      <w:tr w:rsidR="0002098C"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2018</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New </w:t>
            </w:r>
            <w:proofErr w:type="spellStart"/>
            <w:r w:rsidRPr="0002098C">
              <w:rPr>
                <w:rFonts w:ascii="Arial" w:hAnsi="Arial" w:cs="Arial"/>
                <w:color w:val="000000"/>
                <w:sz w:val="22"/>
                <w:szCs w:val="22"/>
              </w:rPr>
              <w:t>Zealand</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CEDAW/C/NZL/CO/8,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23(c)-24(c) </w:t>
            </w:r>
          </w:p>
        </w:tc>
      </w:tr>
      <w:tr w:rsidR="0002098C"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2018</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Nepal</w:t>
            </w:r>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CEDAW/C/NPL/CO/6,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18(c</w:t>
            </w:r>
            <w:proofErr w:type="gramStart"/>
            <w:r w:rsidRPr="0002098C">
              <w:rPr>
                <w:rFonts w:ascii="Arial" w:hAnsi="Arial" w:cs="Arial"/>
                <w:color w:val="000000"/>
                <w:sz w:val="22"/>
                <w:szCs w:val="22"/>
              </w:rPr>
              <w:t>),(</w:t>
            </w:r>
            <w:proofErr w:type="gramEnd"/>
            <w:r w:rsidRPr="0002098C">
              <w:rPr>
                <w:rFonts w:ascii="Arial" w:hAnsi="Arial" w:cs="Arial"/>
                <w:color w:val="000000"/>
                <w:sz w:val="22"/>
                <w:szCs w:val="22"/>
              </w:rPr>
              <w:t xml:space="preserve">d)-19(a),(d),(e) </w:t>
            </w:r>
          </w:p>
        </w:tc>
      </w:tr>
      <w:tr w:rsidR="0002098C"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2018</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Liechtenstein</w:t>
            </w:r>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CEDAW/C/LIE/CO/5,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35+36(c) </w:t>
            </w:r>
          </w:p>
        </w:tc>
      </w:tr>
      <w:tr w:rsidR="0002098C"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2022</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proofErr w:type="spellStart"/>
            <w:r w:rsidRPr="0002098C">
              <w:rPr>
                <w:rFonts w:ascii="Arial" w:hAnsi="Arial" w:cs="Arial"/>
                <w:color w:val="000000"/>
                <w:sz w:val="22"/>
                <w:szCs w:val="22"/>
              </w:rPr>
              <w:t>Belgium</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CEDAW/C/BEL/CO/8,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23(c)+24(c), 45(c), 46(c) </w:t>
            </w:r>
          </w:p>
        </w:tc>
      </w:tr>
      <w:tr w:rsidR="0002098C"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2022</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proofErr w:type="spellStart"/>
            <w:r w:rsidRPr="0002098C">
              <w:rPr>
                <w:rFonts w:ascii="Arial" w:hAnsi="Arial" w:cs="Arial"/>
                <w:color w:val="000000"/>
                <w:sz w:val="22"/>
                <w:szCs w:val="22"/>
              </w:rPr>
              <w:t>Switzerland</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CEDAW/C/CHE/CO/6,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55(f)+56(d)</w:t>
            </w:r>
          </w:p>
        </w:tc>
      </w:tr>
      <w:tr w:rsidR="0002098C"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2022</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proofErr w:type="spellStart"/>
            <w:r w:rsidRPr="0002098C">
              <w:rPr>
                <w:rFonts w:ascii="Arial" w:hAnsi="Arial" w:cs="Arial"/>
                <w:color w:val="000000"/>
                <w:sz w:val="22"/>
                <w:szCs w:val="22"/>
              </w:rPr>
              <w:t>Finland</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CEDAW/C/FIN/CO/8,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21(b)+22(b)</w:t>
            </w:r>
          </w:p>
        </w:tc>
      </w:tr>
    </w:tbl>
    <w:p w:rsidR="0002098C" w:rsidRDefault="0002098C" w:rsidP="0089484A"/>
    <w:p w:rsidR="0089484A" w:rsidRDefault="0089484A" w:rsidP="0089484A"/>
    <w:p w:rsidR="00940DCC" w:rsidRPr="0002098C" w:rsidRDefault="009F67A7" w:rsidP="0002098C">
      <w:pPr>
        <w:spacing w:after="115"/>
        <w:rPr>
          <w:rFonts w:ascii="Arial" w:hAnsi="Arial" w:cs="Arial"/>
          <w:b/>
          <w:sz w:val="26"/>
          <w:szCs w:val="26"/>
        </w:rPr>
      </w:pPr>
      <w:r w:rsidRPr="0089484A">
        <w:rPr>
          <w:rFonts w:ascii="Arial" w:hAnsi="Arial" w:cs="Arial"/>
          <w:b/>
          <w:sz w:val="26"/>
          <w:szCs w:val="26"/>
        </w:rPr>
        <w:t>CAT</w:t>
      </w:r>
      <w:r w:rsidR="00940DCC" w:rsidRPr="0089484A">
        <w:rPr>
          <w:rFonts w:ascii="Arial" w:hAnsi="Arial" w:cs="Arial"/>
          <w:b/>
          <w:sz w:val="26"/>
          <w:szCs w:val="26"/>
        </w:rPr>
        <w:t xml:space="preserve">     1</w:t>
      </w:r>
      <w:r w:rsidRPr="0089484A">
        <w:rPr>
          <w:rFonts w:ascii="Arial" w:hAnsi="Arial" w:cs="Arial"/>
          <w:b/>
          <w:sz w:val="26"/>
          <w:szCs w:val="26"/>
        </w:rPr>
        <w:t>4</w:t>
      </w:r>
      <w:r w:rsidR="00940DCC" w:rsidRPr="0089484A">
        <w:rPr>
          <w:rFonts w:ascii="Arial" w:hAnsi="Arial" w:cs="Arial"/>
          <w:b/>
          <w:sz w:val="26"/>
          <w:szCs w:val="26"/>
        </w:rPr>
        <w:t xml:space="preserve"> </w:t>
      </w:r>
      <w:proofErr w:type="spellStart"/>
      <w:r w:rsidR="00940DCC" w:rsidRPr="0089484A">
        <w:rPr>
          <w:rFonts w:ascii="Arial" w:hAnsi="Arial" w:cs="Arial"/>
          <w:b/>
          <w:sz w:val="26"/>
          <w:szCs w:val="26"/>
        </w:rPr>
        <w:t>Concluding</w:t>
      </w:r>
      <w:proofErr w:type="spellEnd"/>
      <w:r w:rsidR="00940DCC" w:rsidRPr="0089484A">
        <w:rPr>
          <w:rFonts w:ascii="Arial" w:hAnsi="Arial" w:cs="Arial"/>
          <w:b/>
          <w:sz w:val="26"/>
          <w:szCs w:val="26"/>
        </w:rPr>
        <w:t xml:space="preserve"> </w:t>
      </w:r>
      <w:proofErr w:type="spellStart"/>
      <w:r w:rsidR="00940DCC" w:rsidRPr="0089484A">
        <w:rPr>
          <w:rFonts w:ascii="Arial" w:hAnsi="Arial" w:cs="Arial"/>
          <w:b/>
          <w:sz w:val="26"/>
          <w:szCs w:val="26"/>
        </w:rPr>
        <w:t>Observations</w:t>
      </w:r>
      <w:proofErr w:type="spellEnd"/>
    </w:p>
    <w:tbl>
      <w:tblPr>
        <w:tblW w:w="9634" w:type="dxa"/>
        <w:tblInd w:w="75" w:type="dxa"/>
        <w:tblLayout w:type="fixed"/>
        <w:tblCellMar>
          <w:left w:w="70" w:type="dxa"/>
          <w:right w:w="70" w:type="dxa"/>
        </w:tblCellMar>
        <w:tblLook w:val="04A0" w:firstRow="1" w:lastRow="0" w:firstColumn="1" w:lastColumn="0" w:noHBand="0" w:noVBand="1"/>
      </w:tblPr>
      <w:tblGrid>
        <w:gridCol w:w="825"/>
        <w:gridCol w:w="2205"/>
        <w:gridCol w:w="6604"/>
      </w:tblGrid>
      <w:tr w:rsidR="00FF5FF1" w:rsidRPr="00E737B5" w:rsidTr="005050BA">
        <w:trPr>
          <w:trHeight w:val="4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FF1" w:rsidRPr="00FF5FF1" w:rsidRDefault="00FF5FF1" w:rsidP="00FF5FF1">
            <w:pPr>
              <w:jc w:val="center"/>
              <w:rPr>
                <w:rFonts w:ascii="Arial" w:hAnsi="Arial" w:cs="Arial"/>
                <w:color w:val="000000"/>
                <w:sz w:val="22"/>
                <w:szCs w:val="22"/>
              </w:rPr>
            </w:pPr>
            <w:r w:rsidRPr="00FF5FF1">
              <w:rPr>
                <w:rFonts w:ascii="Arial" w:hAnsi="Arial" w:cs="Arial"/>
                <w:color w:val="000000"/>
                <w:sz w:val="22"/>
                <w:szCs w:val="22"/>
              </w:rPr>
              <w:t>2011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r w:rsidRPr="00FF5FF1">
              <w:rPr>
                <w:rFonts w:ascii="Arial" w:hAnsi="Arial" w:cs="Arial"/>
                <w:color w:val="000000"/>
                <w:sz w:val="22"/>
                <w:szCs w:val="22"/>
              </w:rPr>
              <w:t>Germany</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r w:rsidRPr="00FF5FF1">
              <w:rPr>
                <w:rFonts w:ascii="Arial" w:hAnsi="Arial" w:cs="Arial"/>
                <w:color w:val="000000"/>
                <w:sz w:val="22"/>
                <w:szCs w:val="22"/>
              </w:rPr>
              <w:t xml:space="preserve">CAT/C/DEU/CO/5, </w:t>
            </w:r>
            <w:proofErr w:type="spellStart"/>
            <w:r w:rsidRPr="00FF5FF1">
              <w:rPr>
                <w:rFonts w:ascii="Arial" w:hAnsi="Arial" w:cs="Arial"/>
                <w:color w:val="000000"/>
                <w:sz w:val="22"/>
                <w:szCs w:val="22"/>
              </w:rPr>
              <w:t>para</w:t>
            </w:r>
            <w:proofErr w:type="spellEnd"/>
            <w:r w:rsidRPr="00FF5FF1">
              <w:rPr>
                <w:rFonts w:ascii="Arial" w:hAnsi="Arial" w:cs="Arial"/>
                <w:color w:val="000000"/>
                <w:sz w:val="22"/>
                <w:szCs w:val="22"/>
              </w:rPr>
              <w:t xml:space="preserve"> 20 </w:t>
            </w:r>
          </w:p>
        </w:tc>
      </w:tr>
      <w:tr w:rsidR="00FF5FF1"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F5FF1" w:rsidRPr="00FF5FF1" w:rsidRDefault="00FF5FF1" w:rsidP="00FF5FF1">
            <w:pPr>
              <w:jc w:val="center"/>
              <w:rPr>
                <w:rFonts w:ascii="Arial" w:hAnsi="Arial" w:cs="Arial"/>
                <w:color w:val="000000"/>
                <w:sz w:val="22"/>
                <w:szCs w:val="22"/>
              </w:rPr>
            </w:pPr>
            <w:r w:rsidRPr="00FF5FF1">
              <w:rPr>
                <w:rFonts w:ascii="Arial" w:hAnsi="Arial" w:cs="Arial"/>
                <w:color w:val="000000"/>
                <w:sz w:val="22"/>
                <w:szCs w:val="22"/>
              </w:rPr>
              <w:t>2015</w:t>
            </w:r>
          </w:p>
        </w:tc>
        <w:tc>
          <w:tcPr>
            <w:tcW w:w="2268"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proofErr w:type="spellStart"/>
            <w:r w:rsidRPr="00FF5FF1">
              <w:rPr>
                <w:rFonts w:ascii="Arial" w:hAnsi="Arial" w:cs="Arial"/>
                <w:color w:val="000000"/>
                <w:sz w:val="22"/>
                <w:szCs w:val="22"/>
              </w:rPr>
              <w:t>Switzerland</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r w:rsidRPr="00FF5FF1">
              <w:rPr>
                <w:rFonts w:ascii="Arial" w:hAnsi="Arial" w:cs="Arial"/>
                <w:color w:val="000000"/>
                <w:sz w:val="22"/>
                <w:szCs w:val="22"/>
              </w:rPr>
              <w:t xml:space="preserve">CAT/C/CHE/CO/7, </w:t>
            </w:r>
            <w:proofErr w:type="spellStart"/>
            <w:r w:rsidRPr="00FF5FF1">
              <w:rPr>
                <w:rFonts w:ascii="Arial" w:hAnsi="Arial" w:cs="Arial"/>
                <w:color w:val="000000"/>
                <w:sz w:val="22"/>
                <w:szCs w:val="22"/>
              </w:rPr>
              <w:t>para</w:t>
            </w:r>
            <w:proofErr w:type="spellEnd"/>
            <w:r w:rsidRPr="00FF5FF1">
              <w:rPr>
                <w:rFonts w:ascii="Arial" w:hAnsi="Arial" w:cs="Arial"/>
                <w:color w:val="000000"/>
                <w:sz w:val="22"/>
                <w:szCs w:val="22"/>
              </w:rPr>
              <w:t xml:space="preserve"> 20</w:t>
            </w:r>
          </w:p>
        </w:tc>
      </w:tr>
      <w:tr w:rsidR="00FF5FF1"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F5FF1" w:rsidRPr="00FF5FF1" w:rsidRDefault="00FF5FF1" w:rsidP="00FF5FF1">
            <w:pPr>
              <w:jc w:val="center"/>
              <w:rPr>
                <w:rFonts w:ascii="Arial" w:hAnsi="Arial" w:cs="Arial"/>
                <w:color w:val="000000"/>
                <w:sz w:val="22"/>
                <w:szCs w:val="22"/>
              </w:rPr>
            </w:pPr>
            <w:r w:rsidRPr="00FF5FF1">
              <w:rPr>
                <w:rFonts w:ascii="Arial" w:hAnsi="Arial" w:cs="Arial"/>
                <w:color w:val="000000"/>
                <w:sz w:val="22"/>
                <w:szCs w:val="22"/>
              </w:rPr>
              <w:t>2015</w:t>
            </w:r>
          </w:p>
        </w:tc>
        <w:tc>
          <w:tcPr>
            <w:tcW w:w="2268"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r w:rsidRPr="00FF5FF1">
              <w:rPr>
                <w:rFonts w:ascii="Arial" w:hAnsi="Arial" w:cs="Arial"/>
                <w:color w:val="000000"/>
                <w:sz w:val="22"/>
                <w:szCs w:val="22"/>
              </w:rPr>
              <w:t>Austria</w:t>
            </w:r>
          </w:p>
        </w:tc>
        <w:tc>
          <w:tcPr>
            <w:tcW w:w="6804"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r w:rsidRPr="00FF5FF1">
              <w:rPr>
                <w:rFonts w:ascii="Arial" w:hAnsi="Arial" w:cs="Arial"/>
                <w:color w:val="000000"/>
                <w:sz w:val="22"/>
                <w:szCs w:val="22"/>
              </w:rPr>
              <w:t xml:space="preserve">CAT/C/AUT/CO/6, </w:t>
            </w:r>
            <w:proofErr w:type="spellStart"/>
            <w:r w:rsidRPr="00FF5FF1">
              <w:rPr>
                <w:rFonts w:ascii="Arial" w:hAnsi="Arial" w:cs="Arial"/>
                <w:color w:val="000000"/>
                <w:sz w:val="22"/>
                <w:szCs w:val="22"/>
              </w:rPr>
              <w:t>paras</w:t>
            </w:r>
            <w:proofErr w:type="spellEnd"/>
            <w:r w:rsidRPr="00FF5FF1">
              <w:rPr>
                <w:rFonts w:ascii="Arial" w:hAnsi="Arial" w:cs="Arial"/>
                <w:color w:val="000000"/>
                <w:sz w:val="22"/>
                <w:szCs w:val="22"/>
              </w:rPr>
              <w:t xml:space="preserve"> 44–45 </w:t>
            </w:r>
          </w:p>
        </w:tc>
      </w:tr>
      <w:tr w:rsidR="00FF5FF1"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F5FF1" w:rsidRPr="00FF5FF1" w:rsidRDefault="00FF5FF1" w:rsidP="00FF5FF1">
            <w:pPr>
              <w:jc w:val="center"/>
              <w:rPr>
                <w:rFonts w:ascii="Arial" w:hAnsi="Arial" w:cs="Arial"/>
                <w:color w:val="000000"/>
                <w:sz w:val="22"/>
                <w:szCs w:val="22"/>
              </w:rPr>
            </w:pPr>
            <w:r w:rsidRPr="00FF5FF1">
              <w:rPr>
                <w:rFonts w:ascii="Arial" w:hAnsi="Arial" w:cs="Arial"/>
                <w:color w:val="000000"/>
                <w:sz w:val="22"/>
                <w:szCs w:val="22"/>
              </w:rPr>
              <w:t>2015</w:t>
            </w:r>
          </w:p>
        </w:tc>
        <w:tc>
          <w:tcPr>
            <w:tcW w:w="2268"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r w:rsidRPr="00FF5FF1">
              <w:rPr>
                <w:rFonts w:ascii="Arial" w:hAnsi="Arial" w:cs="Arial"/>
                <w:color w:val="000000"/>
                <w:sz w:val="22"/>
                <w:szCs w:val="22"/>
              </w:rPr>
              <w:t>Hong Kong</w:t>
            </w:r>
          </w:p>
        </w:tc>
        <w:tc>
          <w:tcPr>
            <w:tcW w:w="6804"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r w:rsidRPr="00FF5FF1">
              <w:rPr>
                <w:rFonts w:ascii="Arial" w:hAnsi="Arial" w:cs="Arial"/>
                <w:color w:val="000000"/>
                <w:sz w:val="22"/>
                <w:szCs w:val="22"/>
              </w:rPr>
              <w:t xml:space="preserve">CAT/C/CHN-HKG/CO/4-5, </w:t>
            </w:r>
            <w:proofErr w:type="spellStart"/>
            <w:r w:rsidRPr="00FF5FF1">
              <w:rPr>
                <w:rFonts w:ascii="Arial" w:hAnsi="Arial" w:cs="Arial"/>
                <w:color w:val="000000"/>
                <w:sz w:val="22"/>
                <w:szCs w:val="22"/>
              </w:rPr>
              <w:t>paras</w:t>
            </w:r>
            <w:proofErr w:type="spellEnd"/>
            <w:r w:rsidRPr="00FF5FF1">
              <w:rPr>
                <w:rFonts w:ascii="Arial" w:hAnsi="Arial" w:cs="Arial"/>
                <w:color w:val="000000"/>
                <w:sz w:val="22"/>
                <w:szCs w:val="22"/>
              </w:rPr>
              <w:t xml:space="preserve"> 28-29</w:t>
            </w:r>
          </w:p>
        </w:tc>
      </w:tr>
      <w:tr w:rsidR="00FF5FF1"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F5FF1" w:rsidRPr="00FF5FF1" w:rsidRDefault="00FF5FF1" w:rsidP="00FF5FF1">
            <w:pPr>
              <w:jc w:val="center"/>
              <w:rPr>
                <w:rFonts w:ascii="Arial" w:hAnsi="Arial" w:cs="Arial"/>
                <w:color w:val="000000"/>
                <w:sz w:val="22"/>
                <w:szCs w:val="22"/>
              </w:rPr>
            </w:pPr>
            <w:r w:rsidRPr="00FF5FF1">
              <w:rPr>
                <w:rFonts w:ascii="Arial" w:hAnsi="Arial" w:cs="Arial"/>
                <w:color w:val="000000"/>
                <w:sz w:val="22"/>
                <w:szCs w:val="22"/>
              </w:rPr>
              <w:t>2015</w:t>
            </w:r>
          </w:p>
        </w:tc>
        <w:tc>
          <w:tcPr>
            <w:tcW w:w="2268"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proofErr w:type="spellStart"/>
            <w:r w:rsidRPr="00FF5FF1">
              <w:rPr>
                <w:rFonts w:ascii="Arial" w:hAnsi="Arial" w:cs="Arial"/>
                <w:color w:val="000000"/>
                <w:sz w:val="22"/>
                <w:szCs w:val="22"/>
              </w:rPr>
              <w:t>Denmark</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r w:rsidRPr="00FF5FF1">
              <w:rPr>
                <w:rFonts w:ascii="Arial" w:hAnsi="Arial" w:cs="Arial"/>
                <w:color w:val="000000"/>
                <w:sz w:val="22"/>
                <w:szCs w:val="22"/>
              </w:rPr>
              <w:t xml:space="preserve">CAT/C/DNK/CO/6-7, </w:t>
            </w:r>
            <w:proofErr w:type="spellStart"/>
            <w:r w:rsidRPr="00FF5FF1">
              <w:rPr>
                <w:rFonts w:ascii="Arial" w:hAnsi="Arial" w:cs="Arial"/>
                <w:color w:val="000000"/>
                <w:sz w:val="22"/>
                <w:szCs w:val="22"/>
              </w:rPr>
              <w:t>paras</w:t>
            </w:r>
            <w:proofErr w:type="spellEnd"/>
            <w:r w:rsidRPr="00FF5FF1">
              <w:rPr>
                <w:rFonts w:ascii="Arial" w:hAnsi="Arial" w:cs="Arial"/>
                <w:color w:val="000000"/>
                <w:sz w:val="22"/>
                <w:szCs w:val="22"/>
              </w:rPr>
              <w:t xml:space="preserve"> 42–43 </w:t>
            </w:r>
          </w:p>
        </w:tc>
      </w:tr>
      <w:tr w:rsidR="00FF5FF1"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F5FF1" w:rsidRPr="00FF5FF1" w:rsidRDefault="00FF5FF1" w:rsidP="00FF5FF1">
            <w:pPr>
              <w:jc w:val="center"/>
              <w:rPr>
                <w:rFonts w:ascii="Arial" w:hAnsi="Arial" w:cs="Arial"/>
                <w:color w:val="000000"/>
                <w:sz w:val="22"/>
                <w:szCs w:val="22"/>
              </w:rPr>
            </w:pPr>
            <w:r w:rsidRPr="00FF5FF1">
              <w:rPr>
                <w:rFonts w:ascii="Arial" w:hAnsi="Arial" w:cs="Arial"/>
                <w:color w:val="000000"/>
                <w:sz w:val="22"/>
                <w:szCs w:val="22"/>
              </w:rPr>
              <w:t>2016</w:t>
            </w:r>
          </w:p>
        </w:tc>
        <w:tc>
          <w:tcPr>
            <w:tcW w:w="2268"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r w:rsidRPr="00FF5FF1">
              <w:rPr>
                <w:rFonts w:ascii="Arial" w:hAnsi="Arial" w:cs="Arial"/>
                <w:color w:val="000000"/>
                <w:sz w:val="22"/>
                <w:szCs w:val="22"/>
              </w:rPr>
              <w:t>France</w:t>
            </w:r>
          </w:p>
        </w:tc>
        <w:tc>
          <w:tcPr>
            <w:tcW w:w="6804"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r w:rsidRPr="00FF5FF1">
              <w:rPr>
                <w:rFonts w:ascii="Arial" w:hAnsi="Arial" w:cs="Arial"/>
                <w:color w:val="000000"/>
                <w:sz w:val="22"/>
                <w:szCs w:val="22"/>
              </w:rPr>
              <w:t xml:space="preserve">CAT/C/FRA/CO/7, </w:t>
            </w:r>
            <w:proofErr w:type="spellStart"/>
            <w:r w:rsidRPr="00FF5FF1">
              <w:rPr>
                <w:rFonts w:ascii="Arial" w:hAnsi="Arial" w:cs="Arial"/>
                <w:color w:val="000000"/>
                <w:sz w:val="22"/>
                <w:szCs w:val="22"/>
              </w:rPr>
              <w:t>paras</w:t>
            </w:r>
            <w:proofErr w:type="spellEnd"/>
            <w:r w:rsidRPr="00FF5FF1">
              <w:rPr>
                <w:rFonts w:ascii="Arial" w:hAnsi="Arial" w:cs="Arial"/>
                <w:color w:val="000000"/>
                <w:sz w:val="22"/>
                <w:szCs w:val="22"/>
              </w:rPr>
              <w:t xml:space="preserve"> 34-35 </w:t>
            </w:r>
          </w:p>
        </w:tc>
      </w:tr>
      <w:tr w:rsidR="00FF5FF1"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F5FF1" w:rsidRPr="00FF5FF1" w:rsidRDefault="00FF5FF1" w:rsidP="00FF5FF1">
            <w:pPr>
              <w:jc w:val="center"/>
              <w:rPr>
                <w:rFonts w:ascii="Arial" w:hAnsi="Arial" w:cs="Arial"/>
                <w:color w:val="000000"/>
                <w:sz w:val="22"/>
                <w:szCs w:val="22"/>
              </w:rPr>
            </w:pPr>
            <w:r w:rsidRPr="00FF5FF1">
              <w:rPr>
                <w:rFonts w:ascii="Arial" w:hAnsi="Arial" w:cs="Arial"/>
                <w:color w:val="000000"/>
                <w:sz w:val="22"/>
                <w:szCs w:val="22"/>
              </w:rPr>
              <w:t>2018</w:t>
            </w:r>
          </w:p>
        </w:tc>
        <w:tc>
          <w:tcPr>
            <w:tcW w:w="2268"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proofErr w:type="spellStart"/>
            <w:r w:rsidRPr="00FF5FF1">
              <w:rPr>
                <w:rFonts w:ascii="Arial" w:hAnsi="Arial" w:cs="Arial"/>
                <w:color w:val="000000"/>
                <w:sz w:val="22"/>
                <w:szCs w:val="22"/>
              </w:rPr>
              <w:t>Netherlands</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r w:rsidRPr="00FF5FF1">
              <w:rPr>
                <w:rFonts w:ascii="Arial" w:hAnsi="Arial" w:cs="Arial"/>
                <w:color w:val="000000"/>
                <w:sz w:val="22"/>
                <w:szCs w:val="22"/>
              </w:rPr>
              <w:t xml:space="preserve">CAT/C/NLD/CO/7, </w:t>
            </w:r>
            <w:proofErr w:type="spellStart"/>
            <w:r w:rsidRPr="00FF5FF1">
              <w:rPr>
                <w:rFonts w:ascii="Arial" w:hAnsi="Arial" w:cs="Arial"/>
                <w:color w:val="000000"/>
                <w:sz w:val="22"/>
                <w:szCs w:val="22"/>
              </w:rPr>
              <w:t>paras</w:t>
            </w:r>
            <w:proofErr w:type="spellEnd"/>
            <w:r w:rsidRPr="00FF5FF1">
              <w:rPr>
                <w:rFonts w:ascii="Arial" w:hAnsi="Arial" w:cs="Arial"/>
                <w:color w:val="000000"/>
                <w:sz w:val="22"/>
                <w:szCs w:val="22"/>
              </w:rPr>
              <w:t xml:space="preserve"> 52-53</w:t>
            </w:r>
          </w:p>
        </w:tc>
      </w:tr>
      <w:tr w:rsidR="00FF5FF1"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F5FF1" w:rsidRPr="00FF5FF1" w:rsidRDefault="00FF5FF1" w:rsidP="00FF5FF1">
            <w:pPr>
              <w:jc w:val="center"/>
              <w:rPr>
                <w:rFonts w:ascii="Arial" w:hAnsi="Arial" w:cs="Arial"/>
                <w:color w:val="000000"/>
                <w:sz w:val="22"/>
                <w:szCs w:val="22"/>
              </w:rPr>
            </w:pPr>
            <w:r w:rsidRPr="00FF5FF1">
              <w:rPr>
                <w:rFonts w:ascii="Arial" w:hAnsi="Arial" w:cs="Arial"/>
                <w:color w:val="000000"/>
                <w:sz w:val="22"/>
                <w:szCs w:val="22"/>
              </w:rPr>
              <w:t>2019</w:t>
            </w:r>
          </w:p>
        </w:tc>
        <w:tc>
          <w:tcPr>
            <w:tcW w:w="2268"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r w:rsidRPr="00FF5FF1">
              <w:rPr>
                <w:rFonts w:ascii="Arial" w:hAnsi="Arial" w:cs="Arial"/>
                <w:color w:val="000000"/>
                <w:sz w:val="22"/>
                <w:szCs w:val="22"/>
              </w:rPr>
              <w:t>UK</w:t>
            </w:r>
          </w:p>
        </w:tc>
        <w:tc>
          <w:tcPr>
            <w:tcW w:w="6804"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r w:rsidRPr="00FF5FF1">
              <w:rPr>
                <w:rFonts w:ascii="Arial" w:hAnsi="Arial" w:cs="Arial"/>
                <w:color w:val="000000"/>
                <w:sz w:val="22"/>
                <w:szCs w:val="22"/>
              </w:rPr>
              <w:t xml:space="preserve">CAT/C/GBR/CO/6, </w:t>
            </w:r>
            <w:proofErr w:type="spellStart"/>
            <w:r w:rsidRPr="00FF5FF1">
              <w:rPr>
                <w:rFonts w:ascii="Arial" w:hAnsi="Arial" w:cs="Arial"/>
                <w:color w:val="000000"/>
                <w:sz w:val="22"/>
                <w:szCs w:val="22"/>
              </w:rPr>
              <w:t>paras</w:t>
            </w:r>
            <w:proofErr w:type="spellEnd"/>
            <w:r w:rsidRPr="00FF5FF1">
              <w:rPr>
                <w:rFonts w:ascii="Arial" w:hAnsi="Arial" w:cs="Arial"/>
                <w:color w:val="000000"/>
                <w:sz w:val="22"/>
                <w:szCs w:val="22"/>
              </w:rPr>
              <w:t xml:space="preserve"> 64-65 </w:t>
            </w:r>
          </w:p>
        </w:tc>
      </w:tr>
      <w:tr w:rsidR="00FF5FF1"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F5FF1" w:rsidRPr="00FF5FF1" w:rsidRDefault="00FF5FF1" w:rsidP="00FF5FF1">
            <w:pPr>
              <w:jc w:val="center"/>
              <w:rPr>
                <w:rFonts w:ascii="Arial" w:hAnsi="Arial" w:cs="Arial"/>
                <w:color w:val="000000"/>
                <w:sz w:val="22"/>
                <w:szCs w:val="22"/>
              </w:rPr>
            </w:pPr>
            <w:r w:rsidRPr="00FF5FF1">
              <w:rPr>
                <w:rFonts w:ascii="Arial" w:hAnsi="Arial" w:cs="Arial"/>
                <w:color w:val="000000"/>
                <w:sz w:val="22"/>
                <w:szCs w:val="22"/>
              </w:rPr>
              <w:lastRenderedPageBreak/>
              <w:t>2023</w:t>
            </w:r>
          </w:p>
        </w:tc>
        <w:tc>
          <w:tcPr>
            <w:tcW w:w="2268"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r w:rsidRPr="00FF5FF1">
              <w:rPr>
                <w:rFonts w:ascii="Arial" w:hAnsi="Arial" w:cs="Arial"/>
                <w:color w:val="000000"/>
                <w:sz w:val="22"/>
                <w:szCs w:val="22"/>
              </w:rPr>
              <w:t>Luxembourg</w:t>
            </w:r>
          </w:p>
        </w:tc>
        <w:tc>
          <w:tcPr>
            <w:tcW w:w="6804"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r w:rsidRPr="00FF5FF1">
              <w:rPr>
                <w:rFonts w:ascii="Arial" w:hAnsi="Arial" w:cs="Arial"/>
                <w:color w:val="000000"/>
                <w:sz w:val="22"/>
                <w:szCs w:val="22"/>
              </w:rPr>
              <w:t xml:space="preserve">CAT/C/LUX/CO/8, </w:t>
            </w:r>
            <w:proofErr w:type="spellStart"/>
            <w:r w:rsidRPr="00FF5FF1">
              <w:rPr>
                <w:rFonts w:ascii="Arial" w:hAnsi="Arial" w:cs="Arial"/>
                <w:color w:val="000000"/>
                <w:sz w:val="22"/>
                <w:szCs w:val="22"/>
              </w:rPr>
              <w:t>paras</w:t>
            </w:r>
            <w:proofErr w:type="spellEnd"/>
            <w:r w:rsidRPr="00FF5FF1">
              <w:rPr>
                <w:rFonts w:ascii="Arial" w:hAnsi="Arial" w:cs="Arial"/>
                <w:color w:val="000000"/>
                <w:sz w:val="22"/>
                <w:szCs w:val="22"/>
              </w:rPr>
              <w:t xml:space="preserve"> 35+36</w:t>
            </w:r>
          </w:p>
        </w:tc>
      </w:tr>
      <w:tr w:rsidR="00FF5FF1"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F5FF1" w:rsidRPr="00FF5FF1" w:rsidRDefault="00FF5FF1" w:rsidP="00FF5FF1">
            <w:pPr>
              <w:jc w:val="center"/>
              <w:rPr>
                <w:rFonts w:ascii="Arial" w:hAnsi="Arial" w:cs="Arial"/>
                <w:color w:val="000000"/>
                <w:sz w:val="22"/>
                <w:szCs w:val="22"/>
              </w:rPr>
            </w:pPr>
            <w:r w:rsidRPr="00FF5FF1">
              <w:rPr>
                <w:rFonts w:ascii="Arial" w:hAnsi="Arial" w:cs="Arial"/>
                <w:color w:val="000000"/>
                <w:sz w:val="22"/>
                <w:szCs w:val="22"/>
              </w:rPr>
              <w:t>2023</w:t>
            </w:r>
          </w:p>
        </w:tc>
        <w:tc>
          <w:tcPr>
            <w:tcW w:w="2268"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r w:rsidRPr="00FF5FF1">
              <w:rPr>
                <w:rFonts w:ascii="Arial" w:hAnsi="Arial" w:cs="Arial"/>
                <w:color w:val="000000"/>
                <w:sz w:val="22"/>
                <w:szCs w:val="22"/>
              </w:rPr>
              <w:t xml:space="preserve">New </w:t>
            </w:r>
            <w:proofErr w:type="spellStart"/>
            <w:r w:rsidRPr="00FF5FF1">
              <w:rPr>
                <w:rFonts w:ascii="Arial" w:hAnsi="Arial" w:cs="Arial"/>
                <w:color w:val="000000"/>
                <w:sz w:val="22"/>
                <w:szCs w:val="22"/>
              </w:rPr>
              <w:t>Zealand</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r w:rsidRPr="00FF5FF1">
              <w:rPr>
                <w:rFonts w:ascii="Arial" w:hAnsi="Arial" w:cs="Arial"/>
                <w:color w:val="000000"/>
                <w:sz w:val="22"/>
                <w:szCs w:val="22"/>
              </w:rPr>
              <w:t xml:space="preserve">CAT/C/NZL/CO/7, </w:t>
            </w:r>
            <w:proofErr w:type="spellStart"/>
            <w:r w:rsidRPr="00FF5FF1">
              <w:rPr>
                <w:rFonts w:ascii="Arial" w:hAnsi="Arial" w:cs="Arial"/>
                <w:color w:val="000000"/>
                <w:sz w:val="22"/>
                <w:szCs w:val="22"/>
              </w:rPr>
              <w:t>paras</w:t>
            </w:r>
            <w:proofErr w:type="spellEnd"/>
            <w:r w:rsidRPr="00FF5FF1">
              <w:rPr>
                <w:rFonts w:ascii="Arial" w:hAnsi="Arial" w:cs="Arial"/>
                <w:color w:val="000000"/>
                <w:sz w:val="22"/>
                <w:szCs w:val="22"/>
              </w:rPr>
              <w:t xml:space="preserve"> 53-54</w:t>
            </w:r>
          </w:p>
        </w:tc>
      </w:tr>
      <w:tr w:rsidR="00FF5FF1"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F5FF1" w:rsidRPr="00FF5FF1" w:rsidRDefault="00FF5FF1" w:rsidP="00FF5FF1">
            <w:pPr>
              <w:jc w:val="center"/>
              <w:rPr>
                <w:rFonts w:ascii="Arial" w:hAnsi="Arial" w:cs="Arial"/>
                <w:color w:val="000000"/>
                <w:sz w:val="22"/>
                <w:szCs w:val="22"/>
              </w:rPr>
            </w:pPr>
            <w:r w:rsidRPr="00FF5FF1">
              <w:rPr>
                <w:rFonts w:ascii="Arial" w:hAnsi="Arial" w:cs="Arial"/>
                <w:color w:val="000000"/>
                <w:sz w:val="22"/>
                <w:szCs w:val="22"/>
              </w:rPr>
              <w:t>2023</w:t>
            </w:r>
          </w:p>
        </w:tc>
        <w:tc>
          <w:tcPr>
            <w:tcW w:w="2268"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proofErr w:type="spellStart"/>
            <w:r w:rsidRPr="00FF5FF1">
              <w:rPr>
                <w:rFonts w:ascii="Arial" w:hAnsi="Arial" w:cs="Arial"/>
                <w:color w:val="000000"/>
                <w:sz w:val="22"/>
                <w:szCs w:val="22"/>
              </w:rPr>
              <w:t>Denmark</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r w:rsidRPr="00FF5FF1">
              <w:rPr>
                <w:rFonts w:ascii="Arial" w:hAnsi="Arial" w:cs="Arial"/>
                <w:color w:val="000000"/>
                <w:sz w:val="22"/>
                <w:szCs w:val="22"/>
              </w:rPr>
              <w:t xml:space="preserve">CAT/C/DNK/CO/8, </w:t>
            </w:r>
            <w:proofErr w:type="spellStart"/>
            <w:r w:rsidRPr="00FF5FF1">
              <w:rPr>
                <w:rFonts w:ascii="Arial" w:hAnsi="Arial" w:cs="Arial"/>
                <w:color w:val="000000"/>
                <w:sz w:val="22"/>
                <w:szCs w:val="22"/>
              </w:rPr>
              <w:t>paras</w:t>
            </w:r>
            <w:proofErr w:type="spellEnd"/>
            <w:r w:rsidRPr="00FF5FF1">
              <w:rPr>
                <w:rFonts w:ascii="Arial" w:hAnsi="Arial" w:cs="Arial"/>
                <w:color w:val="000000"/>
                <w:sz w:val="22"/>
                <w:szCs w:val="22"/>
              </w:rPr>
              <w:t xml:space="preserve"> 32+33</w:t>
            </w:r>
          </w:p>
        </w:tc>
      </w:tr>
      <w:tr w:rsidR="00FF5FF1"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F5FF1" w:rsidRPr="00FF5FF1" w:rsidRDefault="00FF5FF1" w:rsidP="00FF5FF1">
            <w:pPr>
              <w:jc w:val="center"/>
              <w:rPr>
                <w:rFonts w:ascii="Arial" w:hAnsi="Arial" w:cs="Arial"/>
                <w:color w:val="000000"/>
                <w:sz w:val="22"/>
                <w:szCs w:val="22"/>
              </w:rPr>
            </w:pPr>
            <w:r w:rsidRPr="00FF5FF1">
              <w:rPr>
                <w:rFonts w:ascii="Arial" w:hAnsi="Arial" w:cs="Arial"/>
                <w:color w:val="000000"/>
                <w:sz w:val="22"/>
                <w:szCs w:val="22"/>
              </w:rPr>
              <w:t>2023</w:t>
            </w:r>
          </w:p>
        </w:tc>
        <w:tc>
          <w:tcPr>
            <w:tcW w:w="2268"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proofErr w:type="spellStart"/>
            <w:r w:rsidRPr="00FF5FF1">
              <w:rPr>
                <w:rFonts w:ascii="Arial" w:hAnsi="Arial" w:cs="Arial"/>
                <w:color w:val="000000"/>
                <w:sz w:val="22"/>
                <w:szCs w:val="22"/>
              </w:rPr>
              <w:t>Switzerland</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r w:rsidRPr="00FF5FF1">
              <w:rPr>
                <w:rFonts w:ascii="Arial" w:hAnsi="Arial" w:cs="Arial"/>
                <w:color w:val="000000"/>
                <w:sz w:val="22"/>
                <w:szCs w:val="22"/>
              </w:rPr>
              <w:t xml:space="preserve">CAT/C/CHE/CO/8, </w:t>
            </w:r>
            <w:proofErr w:type="spellStart"/>
            <w:r w:rsidRPr="00FF5FF1">
              <w:rPr>
                <w:rFonts w:ascii="Arial" w:hAnsi="Arial" w:cs="Arial"/>
                <w:color w:val="000000"/>
                <w:sz w:val="22"/>
                <w:szCs w:val="22"/>
              </w:rPr>
              <w:t>paras</w:t>
            </w:r>
            <w:proofErr w:type="spellEnd"/>
            <w:r w:rsidRPr="00FF5FF1">
              <w:rPr>
                <w:rFonts w:ascii="Arial" w:hAnsi="Arial" w:cs="Arial"/>
                <w:color w:val="000000"/>
                <w:sz w:val="22"/>
                <w:szCs w:val="22"/>
              </w:rPr>
              <w:t xml:space="preserve"> 37-38</w:t>
            </w:r>
          </w:p>
        </w:tc>
      </w:tr>
      <w:tr w:rsidR="00FF5FF1"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F5FF1" w:rsidRPr="00FF5FF1" w:rsidRDefault="00FF5FF1" w:rsidP="00FF5FF1">
            <w:pPr>
              <w:jc w:val="center"/>
              <w:rPr>
                <w:rFonts w:ascii="Arial" w:hAnsi="Arial" w:cs="Arial"/>
                <w:color w:val="000000"/>
                <w:sz w:val="22"/>
                <w:szCs w:val="22"/>
              </w:rPr>
            </w:pPr>
            <w:r w:rsidRPr="00FF5FF1">
              <w:rPr>
                <w:rFonts w:ascii="Arial" w:hAnsi="Arial" w:cs="Arial"/>
                <w:color w:val="000000"/>
                <w:sz w:val="22"/>
                <w:szCs w:val="22"/>
              </w:rPr>
              <w:t>2024</w:t>
            </w:r>
          </w:p>
        </w:tc>
        <w:tc>
          <w:tcPr>
            <w:tcW w:w="2268"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proofErr w:type="spellStart"/>
            <w:r w:rsidRPr="00FF5FF1">
              <w:rPr>
                <w:rFonts w:ascii="Arial" w:hAnsi="Arial" w:cs="Arial"/>
                <w:color w:val="000000"/>
                <w:sz w:val="22"/>
                <w:szCs w:val="22"/>
              </w:rPr>
              <w:t>Finland</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r w:rsidRPr="00FF5FF1">
              <w:rPr>
                <w:rFonts w:ascii="Arial" w:hAnsi="Arial" w:cs="Arial"/>
                <w:color w:val="000000"/>
                <w:sz w:val="22"/>
                <w:szCs w:val="22"/>
              </w:rPr>
              <w:t xml:space="preserve">CAT/C/FIN/CO/8, </w:t>
            </w:r>
            <w:proofErr w:type="spellStart"/>
            <w:r w:rsidRPr="00FF5FF1">
              <w:rPr>
                <w:rFonts w:ascii="Arial" w:hAnsi="Arial" w:cs="Arial"/>
                <w:color w:val="000000"/>
                <w:sz w:val="22"/>
                <w:szCs w:val="22"/>
              </w:rPr>
              <w:t>paras</w:t>
            </w:r>
            <w:proofErr w:type="spellEnd"/>
            <w:r w:rsidRPr="00FF5FF1">
              <w:rPr>
                <w:rFonts w:ascii="Arial" w:hAnsi="Arial" w:cs="Arial"/>
                <w:color w:val="000000"/>
                <w:sz w:val="22"/>
                <w:szCs w:val="22"/>
              </w:rPr>
              <w:t xml:space="preserve"> 44+45(b)-(d)</w:t>
            </w:r>
          </w:p>
        </w:tc>
      </w:tr>
      <w:tr w:rsidR="00FF5FF1" w:rsidRPr="00E737B5" w:rsidTr="005050BA">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F5FF1" w:rsidRPr="00FF5FF1" w:rsidRDefault="00FF5FF1" w:rsidP="00FF5FF1">
            <w:pPr>
              <w:jc w:val="center"/>
              <w:rPr>
                <w:rFonts w:ascii="Arial" w:hAnsi="Arial" w:cs="Arial"/>
                <w:color w:val="000000"/>
                <w:sz w:val="22"/>
                <w:szCs w:val="22"/>
              </w:rPr>
            </w:pPr>
            <w:r w:rsidRPr="00FF5FF1">
              <w:rPr>
                <w:rFonts w:ascii="Arial" w:hAnsi="Arial" w:cs="Arial"/>
                <w:color w:val="000000"/>
                <w:sz w:val="22"/>
                <w:szCs w:val="22"/>
              </w:rPr>
              <w:t>2024</w:t>
            </w:r>
          </w:p>
        </w:tc>
        <w:tc>
          <w:tcPr>
            <w:tcW w:w="2268"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r w:rsidRPr="00FF5FF1">
              <w:rPr>
                <w:rFonts w:ascii="Arial" w:hAnsi="Arial" w:cs="Arial"/>
                <w:color w:val="000000"/>
                <w:sz w:val="22"/>
                <w:szCs w:val="22"/>
              </w:rPr>
              <w:t>Austria</w:t>
            </w:r>
          </w:p>
        </w:tc>
        <w:tc>
          <w:tcPr>
            <w:tcW w:w="6804" w:type="dxa"/>
            <w:tcBorders>
              <w:top w:val="nil"/>
              <w:left w:val="nil"/>
              <w:bottom w:val="single" w:sz="4" w:space="0" w:color="auto"/>
              <w:right w:val="single" w:sz="4" w:space="0" w:color="auto"/>
            </w:tcBorders>
            <w:shd w:val="clear" w:color="auto" w:fill="auto"/>
            <w:noWrap/>
            <w:vAlign w:val="center"/>
            <w:hideMark/>
          </w:tcPr>
          <w:p w:rsidR="00FF5FF1" w:rsidRPr="00FF5FF1" w:rsidRDefault="00FF5FF1" w:rsidP="00FF5FF1">
            <w:pPr>
              <w:rPr>
                <w:rFonts w:ascii="Arial" w:hAnsi="Arial" w:cs="Arial"/>
                <w:color w:val="000000"/>
                <w:sz w:val="22"/>
                <w:szCs w:val="22"/>
              </w:rPr>
            </w:pPr>
            <w:r w:rsidRPr="00FF5FF1">
              <w:rPr>
                <w:rFonts w:ascii="Arial" w:hAnsi="Arial" w:cs="Arial"/>
                <w:color w:val="000000"/>
                <w:sz w:val="22"/>
                <w:szCs w:val="22"/>
              </w:rPr>
              <w:t xml:space="preserve">CAT/C/AUT/CO/7, </w:t>
            </w:r>
            <w:proofErr w:type="spellStart"/>
            <w:r w:rsidRPr="00FF5FF1">
              <w:rPr>
                <w:rFonts w:ascii="Arial" w:hAnsi="Arial" w:cs="Arial"/>
                <w:color w:val="000000"/>
                <w:sz w:val="22"/>
                <w:szCs w:val="22"/>
              </w:rPr>
              <w:t>paras</w:t>
            </w:r>
            <w:proofErr w:type="spellEnd"/>
            <w:r w:rsidRPr="00FF5FF1">
              <w:rPr>
                <w:rFonts w:ascii="Arial" w:hAnsi="Arial" w:cs="Arial"/>
                <w:color w:val="000000"/>
                <w:sz w:val="22"/>
                <w:szCs w:val="22"/>
              </w:rPr>
              <w:t xml:space="preserve"> 42+43</w:t>
            </w:r>
          </w:p>
        </w:tc>
      </w:tr>
    </w:tbl>
    <w:p w:rsidR="00FF5FF1" w:rsidRDefault="00FF5FF1" w:rsidP="009F67A7"/>
    <w:p w:rsidR="0089484A" w:rsidRDefault="0089484A" w:rsidP="0089484A"/>
    <w:p w:rsidR="0002098C" w:rsidRPr="0002098C" w:rsidRDefault="000A07DB" w:rsidP="0002098C">
      <w:pPr>
        <w:spacing w:after="115"/>
        <w:rPr>
          <w:rFonts w:ascii="Arial" w:hAnsi="Arial" w:cs="Arial"/>
          <w:b/>
          <w:sz w:val="26"/>
          <w:szCs w:val="26"/>
        </w:rPr>
      </w:pPr>
      <w:r w:rsidRPr="0089484A">
        <w:rPr>
          <w:rFonts w:ascii="Arial" w:hAnsi="Arial" w:cs="Arial"/>
          <w:b/>
          <w:sz w:val="26"/>
          <w:szCs w:val="26"/>
        </w:rPr>
        <w:t>CCPR</w:t>
      </w:r>
      <w:r w:rsidR="009F67A7" w:rsidRPr="0089484A">
        <w:rPr>
          <w:rFonts w:ascii="Arial" w:hAnsi="Arial" w:cs="Arial"/>
          <w:b/>
          <w:sz w:val="26"/>
          <w:szCs w:val="26"/>
        </w:rPr>
        <w:t xml:space="preserve">     </w:t>
      </w:r>
      <w:r w:rsidRPr="0089484A">
        <w:rPr>
          <w:rFonts w:ascii="Arial" w:hAnsi="Arial" w:cs="Arial"/>
          <w:b/>
          <w:sz w:val="26"/>
          <w:szCs w:val="26"/>
        </w:rPr>
        <w:t>12</w:t>
      </w:r>
      <w:r w:rsidR="009F67A7" w:rsidRPr="0089484A">
        <w:rPr>
          <w:rFonts w:ascii="Arial" w:hAnsi="Arial" w:cs="Arial"/>
          <w:b/>
          <w:sz w:val="26"/>
          <w:szCs w:val="26"/>
        </w:rPr>
        <w:t xml:space="preserve"> </w:t>
      </w:r>
      <w:proofErr w:type="spellStart"/>
      <w:r w:rsidR="009F67A7" w:rsidRPr="0089484A">
        <w:rPr>
          <w:rFonts w:ascii="Arial" w:hAnsi="Arial" w:cs="Arial"/>
          <w:b/>
          <w:sz w:val="26"/>
          <w:szCs w:val="26"/>
        </w:rPr>
        <w:t>Concluding</w:t>
      </w:r>
      <w:proofErr w:type="spellEnd"/>
      <w:r w:rsidR="009F67A7" w:rsidRPr="0089484A">
        <w:rPr>
          <w:rFonts w:ascii="Arial" w:hAnsi="Arial" w:cs="Arial"/>
          <w:b/>
          <w:sz w:val="26"/>
          <w:szCs w:val="26"/>
        </w:rPr>
        <w:t xml:space="preserve"> </w:t>
      </w:r>
      <w:proofErr w:type="spellStart"/>
      <w:r w:rsidR="009F67A7" w:rsidRPr="0089484A">
        <w:rPr>
          <w:rFonts w:ascii="Arial" w:hAnsi="Arial" w:cs="Arial"/>
          <w:b/>
          <w:sz w:val="26"/>
          <w:szCs w:val="26"/>
        </w:rPr>
        <w:t>Observations</w:t>
      </w:r>
      <w:proofErr w:type="spellEnd"/>
    </w:p>
    <w:tbl>
      <w:tblPr>
        <w:tblW w:w="9634" w:type="dxa"/>
        <w:tblInd w:w="75" w:type="dxa"/>
        <w:tblLayout w:type="fixed"/>
        <w:tblCellMar>
          <w:left w:w="70" w:type="dxa"/>
          <w:right w:w="70" w:type="dxa"/>
        </w:tblCellMar>
        <w:tblLook w:val="04A0" w:firstRow="1" w:lastRow="0" w:firstColumn="1" w:lastColumn="0" w:noHBand="0" w:noVBand="1"/>
      </w:tblPr>
      <w:tblGrid>
        <w:gridCol w:w="830"/>
        <w:gridCol w:w="2203"/>
        <w:gridCol w:w="6601"/>
      </w:tblGrid>
      <w:tr w:rsidR="0002098C" w:rsidRPr="00E737B5" w:rsidTr="0005550E">
        <w:trPr>
          <w:trHeight w:val="4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2017</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proofErr w:type="spellStart"/>
            <w:r w:rsidRPr="0002098C">
              <w:rPr>
                <w:rFonts w:ascii="Arial" w:hAnsi="Arial" w:cs="Arial"/>
                <w:color w:val="000000"/>
                <w:sz w:val="22"/>
                <w:szCs w:val="22"/>
              </w:rPr>
              <w:t>Switzerland</w:t>
            </w:r>
            <w:proofErr w:type="spellEnd"/>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CCPR/C/CHE/CO/4,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24-25</w:t>
            </w:r>
          </w:p>
        </w:tc>
      </w:tr>
      <w:tr w:rsidR="0002098C" w:rsidRPr="00E737B5" w:rsidTr="0005550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2017</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proofErr w:type="spellStart"/>
            <w:r w:rsidRPr="0002098C">
              <w:rPr>
                <w:rFonts w:ascii="Arial" w:hAnsi="Arial" w:cs="Arial"/>
                <w:color w:val="000000"/>
                <w:sz w:val="22"/>
                <w:szCs w:val="22"/>
              </w:rPr>
              <w:t>Australia</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CCPR/C/AUS/CO/6,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25-26</w:t>
            </w:r>
          </w:p>
        </w:tc>
      </w:tr>
      <w:tr w:rsidR="0002098C" w:rsidRPr="00E737B5" w:rsidTr="0005550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2019</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Mexico</w:t>
            </w:r>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CCPR/C/MEX/CO/6,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12-13</w:t>
            </w:r>
          </w:p>
        </w:tc>
      </w:tr>
      <w:tr w:rsidR="0002098C" w:rsidRPr="00E737B5" w:rsidTr="0005550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2019</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proofErr w:type="spellStart"/>
            <w:r w:rsidRPr="0002098C">
              <w:rPr>
                <w:rFonts w:ascii="Arial" w:hAnsi="Arial" w:cs="Arial"/>
                <w:color w:val="000000"/>
                <w:sz w:val="22"/>
                <w:szCs w:val="22"/>
              </w:rPr>
              <w:t>Belgium</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CCPR/C/BEL/CO/6,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21-22</w:t>
            </w:r>
          </w:p>
        </w:tc>
      </w:tr>
      <w:tr w:rsidR="0002098C" w:rsidRPr="00E737B5" w:rsidTr="0005550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2020</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Portugal</w:t>
            </w:r>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CCPR/C/PRT/CO/5,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16-17</w:t>
            </w:r>
          </w:p>
        </w:tc>
      </w:tr>
      <w:tr w:rsidR="0002098C" w:rsidRPr="00E737B5" w:rsidTr="0005550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2021</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proofErr w:type="spellStart"/>
            <w:r w:rsidRPr="0002098C">
              <w:rPr>
                <w:rFonts w:ascii="Arial" w:hAnsi="Arial" w:cs="Arial"/>
                <w:color w:val="000000"/>
                <w:sz w:val="22"/>
                <w:szCs w:val="22"/>
              </w:rPr>
              <w:t>Finland</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CCPR/C/FIN/CO/7,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20+21(c)</w:t>
            </w:r>
          </w:p>
        </w:tc>
      </w:tr>
      <w:tr w:rsidR="0002098C" w:rsidRPr="00E737B5" w:rsidTr="0005550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2021</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proofErr w:type="spellStart"/>
            <w:r w:rsidRPr="0002098C">
              <w:rPr>
                <w:rFonts w:ascii="Arial" w:hAnsi="Arial" w:cs="Arial"/>
                <w:color w:val="000000"/>
                <w:sz w:val="22"/>
                <w:szCs w:val="22"/>
              </w:rPr>
              <w:t>Kenya</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CCPR/C/KEN/CO/4,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12(e)+13(e) </w:t>
            </w:r>
          </w:p>
        </w:tc>
      </w:tr>
      <w:tr w:rsidR="0002098C" w:rsidRPr="00E737B5" w:rsidTr="0005550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2021</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Germany</w:t>
            </w:r>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CCPR/C/DEU/CO/7,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20+21</w:t>
            </w:r>
          </w:p>
        </w:tc>
      </w:tr>
      <w:tr w:rsidR="0002098C" w:rsidRPr="00E737B5" w:rsidTr="0005550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2022</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Luxembourg</w:t>
            </w:r>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CCPR/C/LUX/CO/4,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11+12 (follow-</w:t>
            </w:r>
            <w:proofErr w:type="spellStart"/>
            <w:r w:rsidRPr="0002098C">
              <w:rPr>
                <w:rFonts w:ascii="Arial" w:hAnsi="Arial" w:cs="Arial"/>
                <w:color w:val="000000"/>
                <w:sz w:val="22"/>
                <w:szCs w:val="22"/>
              </w:rPr>
              <w:t>up</w:t>
            </w:r>
            <w:proofErr w:type="spellEnd"/>
            <w:r w:rsidRPr="0002098C">
              <w:rPr>
                <w:rFonts w:ascii="Arial" w:hAnsi="Arial" w:cs="Arial"/>
                <w:color w:val="000000"/>
                <w:sz w:val="22"/>
                <w:szCs w:val="22"/>
              </w:rPr>
              <w:t xml:space="preserve"> 28.07.2025)</w:t>
            </w:r>
          </w:p>
        </w:tc>
      </w:tr>
      <w:tr w:rsidR="0002098C" w:rsidRPr="00E737B5" w:rsidTr="0005550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2022</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proofErr w:type="spellStart"/>
            <w:r w:rsidRPr="0002098C">
              <w:rPr>
                <w:rFonts w:ascii="Arial" w:hAnsi="Arial" w:cs="Arial"/>
                <w:color w:val="000000"/>
                <w:sz w:val="22"/>
                <w:szCs w:val="22"/>
              </w:rPr>
              <w:t>Ireland</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CCPR/C/IRL/CO/5,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19+20(b)</w:t>
            </w:r>
          </w:p>
        </w:tc>
      </w:tr>
      <w:tr w:rsidR="0002098C" w:rsidRPr="00E737B5" w:rsidTr="0005550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2024</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Chile</w:t>
            </w:r>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CCPR/C/CHL/CO/7,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23+24</w:t>
            </w:r>
          </w:p>
        </w:tc>
      </w:tr>
      <w:tr w:rsidR="0002098C" w:rsidRPr="00E737B5" w:rsidTr="0005550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2098C" w:rsidRPr="0002098C" w:rsidRDefault="0002098C" w:rsidP="0002098C">
            <w:pPr>
              <w:jc w:val="center"/>
              <w:rPr>
                <w:rFonts w:ascii="Arial" w:hAnsi="Arial" w:cs="Arial"/>
                <w:color w:val="000000"/>
                <w:sz w:val="22"/>
                <w:szCs w:val="22"/>
              </w:rPr>
            </w:pPr>
            <w:r w:rsidRPr="0002098C">
              <w:rPr>
                <w:rFonts w:ascii="Arial" w:hAnsi="Arial" w:cs="Arial"/>
                <w:color w:val="000000"/>
                <w:sz w:val="22"/>
                <w:szCs w:val="22"/>
              </w:rPr>
              <w:t>2024</w:t>
            </w:r>
          </w:p>
        </w:tc>
        <w:tc>
          <w:tcPr>
            <w:tcW w:w="2268"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proofErr w:type="spellStart"/>
            <w:r w:rsidRPr="0002098C">
              <w:rPr>
                <w:rFonts w:ascii="Arial" w:hAnsi="Arial" w:cs="Arial"/>
                <w:color w:val="000000"/>
                <w:sz w:val="22"/>
                <w:szCs w:val="22"/>
              </w:rPr>
              <w:t>Iceland</w:t>
            </w:r>
            <w:proofErr w:type="spellEnd"/>
          </w:p>
        </w:tc>
        <w:tc>
          <w:tcPr>
            <w:tcW w:w="6804" w:type="dxa"/>
            <w:tcBorders>
              <w:top w:val="nil"/>
              <w:left w:val="nil"/>
              <w:bottom w:val="single" w:sz="4" w:space="0" w:color="auto"/>
              <w:right w:val="single" w:sz="4" w:space="0" w:color="auto"/>
            </w:tcBorders>
            <w:shd w:val="clear" w:color="auto" w:fill="auto"/>
            <w:noWrap/>
            <w:vAlign w:val="center"/>
            <w:hideMark/>
          </w:tcPr>
          <w:p w:rsidR="0002098C" w:rsidRPr="0002098C" w:rsidRDefault="0002098C" w:rsidP="0002098C">
            <w:pPr>
              <w:rPr>
                <w:rFonts w:ascii="Arial" w:hAnsi="Arial" w:cs="Arial"/>
                <w:color w:val="000000"/>
                <w:sz w:val="22"/>
                <w:szCs w:val="22"/>
              </w:rPr>
            </w:pPr>
            <w:r w:rsidRPr="0002098C">
              <w:rPr>
                <w:rFonts w:ascii="Arial" w:hAnsi="Arial" w:cs="Arial"/>
                <w:color w:val="000000"/>
                <w:sz w:val="22"/>
                <w:szCs w:val="22"/>
              </w:rPr>
              <w:t xml:space="preserve">CCPR/C/ISL/CO/6, </w:t>
            </w:r>
            <w:proofErr w:type="spellStart"/>
            <w:r w:rsidRPr="0002098C">
              <w:rPr>
                <w:rFonts w:ascii="Arial" w:hAnsi="Arial" w:cs="Arial"/>
                <w:color w:val="000000"/>
                <w:sz w:val="22"/>
                <w:szCs w:val="22"/>
              </w:rPr>
              <w:t>paras</w:t>
            </w:r>
            <w:proofErr w:type="spellEnd"/>
            <w:r w:rsidRPr="0002098C">
              <w:rPr>
                <w:rFonts w:ascii="Arial" w:hAnsi="Arial" w:cs="Arial"/>
                <w:color w:val="000000"/>
                <w:sz w:val="22"/>
                <w:szCs w:val="22"/>
              </w:rPr>
              <w:t xml:space="preserve"> 13+14</w:t>
            </w:r>
          </w:p>
        </w:tc>
      </w:tr>
    </w:tbl>
    <w:p w:rsidR="0002098C" w:rsidRPr="009F67A7" w:rsidRDefault="0002098C" w:rsidP="009F67A7">
      <w:pPr>
        <w:rPr>
          <w:b/>
          <w:bCs/>
        </w:rPr>
      </w:pPr>
    </w:p>
    <w:sectPr w:rsidR="0002098C" w:rsidRPr="009F67A7" w:rsidSect="00E71171">
      <w:headerReference w:type="default" r:id="rId8"/>
      <w:headerReference w:type="first" r:id="rId9"/>
      <w:footerReference w:type="first" r:id="rId10"/>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2959" w:rsidRDefault="00E22959" w:rsidP="005541D9">
      <w:r>
        <w:separator/>
      </w:r>
    </w:p>
  </w:endnote>
  <w:endnote w:type="continuationSeparator" w:id="0">
    <w:p w:rsidR="00E22959" w:rsidRDefault="00E22959" w:rsidP="0055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panose1 w:val="020B0604020202020204"/>
    <w:charset w:val="80"/>
    <w:family w:val="auto"/>
    <w:pitch w:val="default"/>
  </w:font>
  <w:font w:name="Baskerville">
    <w:altName w:val="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Bold">
    <w:altName w:val="Yu Gothic"/>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20B0604020202020204"/>
    <w:charset w:val="80"/>
    <w:family w:val="auto"/>
    <w:pitch w:val="default"/>
  </w:font>
  <w:font w:name="ColossalisBold">
    <w:altName w:val="MS Mincho"/>
    <w:panose1 w:val="020B0604020202020204"/>
    <w:charset w:val="80"/>
    <w:family w:val="auto"/>
    <w:pitch w:val="default"/>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6E6" w:rsidRDefault="00BF46E6" w:rsidP="003E391D">
    <w:pPr>
      <w:jc w:val="right"/>
      <w:rPr>
        <w:rFonts w:ascii="Century Gothic" w:hAnsi="Century Gothic" w:cs="Century Gothic"/>
        <w:color w:val="660066"/>
      </w:rPr>
    </w:pPr>
  </w:p>
  <w:p w:rsidR="00BF46E6" w:rsidRDefault="00BF46E6" w:rsidP="003E391D">
    <w:pPr>
      <w:jc w:val="right"/>
      <w:rPr>
        <w:rFonts w:ascii="Century Gothic" w:hAnsi="Century Gothic" w:cs="Century Gothic"/>
        <w:color w:val="660066"/>
      </w:rPr>
    </w:pPr>
    <w:r>
      <w:rPr>
        <w:rFonts w:ascii="Century Gothic" w:hAnsi="Century Gothic" w:cs="Century Gothic"/>
        <w:color w:val="660066"/>
      </w:rPr>
      <w:t xml:space="preserve">c/o Zwischengeschlecht.org </w:t>
    </w:r>
    <w:proofErr w:type="gramStart"/>
    <w:r>
      <w:rPr>
        <w:rFonts w:ascii="Century Gothic" w:hAnsi="Century Gothic" w:cs="Century Gothic"/>
        <w:color w:val="660066"/>
      </w:rPr>
      <w:t xml:space="preserve">·  </w:t>
    </w:r>
    <w:proofErr w:type="spellStart"/>
    <w:r>
      <w:rPr>
        <w:rFonts w:ascii="Century Gothic" w:hAnsi="Century Gothic" w:cs="Century Gothic"/>
        <w:color w:val="660066"/>
      </w:rPr>
      <w:t>P.O.Box</w:t>
    </w:r>
    <w:proofErr w:type="spellEnd"/>
    <w:proofErr w:type="gramEnd"/>
    <w:r>
      <w:rPr>
        <w:rFonts w:ascii="Century Gothic" w:hAnsi="Century Gothic" w:cs="Century Gothic"/>
        <w:color w:val="660066"/>
      </w:rPr>
      <w:t xml:space="preserve"> 1318 ·  CH-8031 </w:t>
    </w:r>
    <w:proofErr w:type="spellStart"/>
    <w:r>
      <w:rPr>
        <w:rFonts w:ascii="Century Gothic" w:hAnsi="Century Gothic" w:cs="Century Gothic"/>
        <w:color w:val="660066"/>
      </w:rPr>
      <w:t>Zurich</w:t>
    </w:r>
    <w:proofErr w:type="spellEnd"/>
    <w:r>
      <w:rPr>
        <w:rFonts w:ascii="Century Gothic" w:hAnsi="Century Gothic" w:cs="Century Gothic"/>
        <w:color w:val="660066"/>
      </w:rPr>
      <w:t xml:space="preserve"> ·  </w:t>
    </w:r>
    <w:proofErr w:type="spellStart"/>
    <w:r>
      <w:rPr>
        <w:rFonts w:ascii="Century Gothic" w:hAnsi="Century Gothic" w:cs="Century Gothic"/>
        <w:color w:val="660066"/>
      </w:rPr>
      <w:t>Switzerland</w:t>
    </w:r>
    <w:proofErr w:type="spellEnd"/>
  </w:p>
  <w:p w:rsidR="00BF46E6" w:rsidRDefault="00BF46E6" w:rsidP="003E391D">
    <w:pPr>
      <w:jc w:val="right"/>
      <w:rPr>
        <w:rFonts w:ascii="Century Gothic" w:hAnsi="Century Gothic" w:cs="Century Gothic"/>
        <w:color w:val="660066"/>
      </w:rPr>
    </w:pPr>
    <w:r>
      <w:rPr>
        <w:rFonts w:ascii="Century Gothic" w:hAnsi="Century Gothic" w:cs="Century Gothic"/>
        <w:color w:val="660066"/>
      </w:rPr>
      <w:t>info@zwischengeschlecht.org</w:t>
    </w:r>
  </w:p>
  <w:p w:rsidR="00BF46E6" w:rsidRPr="003E391D" w:rsidRDefault="00BF46E6" w:rsidP="003E391D">
    <w:pPr>
      <w:jc w:val="right"/>
    </w:pPr>
    <w:r>
      <w:rPr>
        <w:rFonts w:ascii="Century Gothic" w:hAnsi="Century Gothic" w:cs="Century Gothic"/>
        <w:color w:val="660066"/>
      </w:rPr>
      <w:t xml:space="preserve">Mobile +41 76 398 06 50 </w:t>
    </w:r>
    <w:proofErr w:type="gramStart"/>
    <w:r>
      <w:rPr>
        <w:rFonts w:ascii="Century Gothic" w:hAnsi="Century Gothic" w:cs="Century Gothic"/>
        <w:color w:val="660066"/>
      </w:rPr>
      <w:t>·  https://stopigm.org</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2959" w:rsidRDefault="00E22959" w:rsidP="005541D9">
      <w:r>
        <w:separator/>
      </w:r>
    </w:p>
  </w:footnote>
  <w:footnote w:type="continuationSeparator" w:id="0">
    <w:p w:rsidR="00E22959" w:rsidRDefault="00E22959" w:rsidP="005541D9">
      <w:r>
        <w:continuationSeparator/>
      </w:r>
    </w:p>
  </w:footnote>
  <w:footnote w:id="1">
    <w:p w:rsidR="00BF46E6" w:rsidRPr="00440987" w:rsidRDefault="00BF46E6" w:rsidP="004958ED">
      <w:pPr>
        <w:pStyle w:val="fussnoteschattenbericht"/>
      </w:pPr>
      <w:r w:rsidRPr="004958ED">
        <w:rPr>
          <w:rStyle w:val="Funotenzeichen"/>
          <w:vertAlign w:val="baseline"/>
        </w:rPr>
        <w:footnoteRef/>
      </w:r>
      <w:r w:rsidRPr="004958ED">
        <w:t xml:space="preserve"> </w:t>
      </w:r>
      <w:r>
        <w:tab/>
      </w:r>
      <w:hyperlink r:id="rId1" w:history="1">
        <w:r w:rsidRPr="00464E75">
          <w:rPr>
            <w:rStyle w:val="Hyperlink"/>
          </w:rPr>
          <w:t>https://zwischengeschlecht.org/post/Statuten</w:t>
        </w:r>
      </w:hyperlink>
      <w:r>
        <w:t xml:space="preserve"> </w:t>
      </w:r>
    </w:p>
  </w:footnote>
  <w:footnote w:id="2">
    <w:p w:rsidR="00BF46E6" w:rsidRPr="00440987" w:rsidRDefault="00BF46E6" w:rsidP="004958ED">
      <w:pPr>
        <w:pStyle w:val="fussnoteschattenbericht"/>
      </w:pPr>
      <w:r w:rsidRPr="004958ED">
        <w:rPr>
          <w:rStyle w:val="Funotenzeichen"/>
          <w:vertAlign w:val="baseline"/>
        </w:rPr>
        <w:footnoteRef/>
      </w:r>
      <w:r w:rsidRPr="004958ED">
        <w:t xml:space="preserve"> </w:t>
      </w:r>
      <w:r w:rsidRPr="004958ED">
        <w:tab/>
      </w:r>
      <w:r w:rsidRPr="00440987">
        <w:t xml:space="preserve">For more information and references, see 2016 CEDAW France NGO Report (INT/CEDAW/NGO/FRA/24296), p. 39-44, </w:t>
      </w:r>
      <w:r>
        <w:br/>
      </w:r>
      <w:hyperlink r:id="rId2" w:history="1">
        <w:r w:rsidRPr="00464E75">
          <w:rPr>
            <w:rStyle w:val="Hyperlink"/>
          </w:rPr>
          <w:t>https://intersex.shadowreport.org/public/2016-CEDAW-France-NGO-Zwischengeschlecht-Intersex-IGM.pdf</w:t>
        </w:r>
      </w:hyperlink>
      <w:r w:rsidRPr="00440987">
        <w:t xml:space="preserve"> </w:t>
      </w:r>
    </w:p>
  </w:footnote>
  <w:footnote w:id="3">
    <w:p w:rsidR="00BF46E6" w:rsidRPr="00440987" w:rsidRDefault="00BF46E6" w:rsidP="004958ED">
      <w:pPr>
        <w:pStyle w:val="fussnoteschattenbericht"/>
      </w:pPr>
      <w:r w:rsidRPr="004958ED">
        <w:rPr>
          <w:rStyle w:val="Funotenzeichen"/>
          <w:vertAlign w:val="baseline"/>
        </w:rPr>
        <w:footnoteRef/>
      </w:r>
      <w:r w:rsidRPr="004958ED">
        <w:t xml:space="preserve"> </w:t>
      </w:r>
      <w:r>
        <w:tab/>
        <w:t xml:space="preserve">Daniela Truffer, Markus Bauer (2015), </w:t>
      </w:r>
      <w:r w:rsidRPr="00DE4A94">
        <w:t>Intersex Genital Mutilations</w:t>
      </w:r>
      <w:r>
        <w:t xml:space="preserve"> </w:t>
      </w:r>
      <w:proofErr w:type="gramStart"/>
      <w:r w:rsidRPr="00DE4A94">
        <w:t>On</w:t>
      </w:r>
      <w:proofErr w:type="gramEnd"/>
      <w:r w:rsidRPr="00DE4A94">
        <w:t xml:space="preserve"> A Global Scale</w:t>
      </w:r>
      <w:r>
        <w:t xml:space="preserve">. </w:t>
      </w:r>
      <w:r w:rsidRPr="00DE4A94">
        <w:t>Briefing for CRC, Geneva 21.01.2015</w:t>
      </w:r>
      <w:r>
        <w:t xml:space="preserve">, </w:t>
      </w:r>
      <w:r>
        <w:br/>
      </w:r>
      <w:hyperlink r:id="rId3" w:history="1">
        <w:r w:rsidRPr="00464E75">
          <w:rPr>
            <w:rStyle w:val="Hyperlink"/>
          </w:rPr>
          <w:t>https://intersex.shadowreport.org/public/Zwischengeschlecht_2015-CRC-Briefing_Intersex-IGM_web.pdf</w:t>
        </w:r>
      </w:hyperlink>
      <w:r>
        <w:t xml:space="preserve"> </w:t>
      </w:r>
    </w:p>
  </w:footnote>
  <w:footnote w:id="4">
    <w:p w:rsidR="00BF46E6" w:rsidRPr="004958ED" w:rsidRDefault="00BF46E6" w:rsidP="004958ED">
      <w:pPr>
        <w:pStyle w:val="fussnoteschattenbericht"/>
      </w:pPr>
      <w:r w:rsidRPr="004958ED">
        <w:rPr>
          <w:rStyle w:val="Funotenzeichen"/>
          <w:vertAlign w:val="baseline"/>
        </w:rPr>
        <w:footnoteRef/>
      </w:r>
      <w:r w:rsidRPr="004958ED">
        <w:t xml:space="preserve"> </w:t>
      </w:r>
      <w:r w:rsidRPr="004958ED">
        <w:tab/>
        <w:t xml:space="preserve">For more information and references, see </w:t>
      </w:r>
      <w:r w:rsidRPr="00440987">
        <w:t>2016 CEDAW France NGO Report</w:t>
      </w:r>
      <w:r>
        <w:t xml:space="preserve"> </w:t>
      </w:r>
      <w:r w:rsidRPr="00440987">
        <w:t>(INT/CEDAW/NGO/FRA/24296)</w:t>
      </w:r>
      <w:r w:rsidRPr="004958ED">
        <w:t>, p. 50-51</w:t>
      </w:r>
    </w:p>
  </w:footnote>
  <w:footnote w:id="5">
    <w:p w:rsidR="00BF46E6" w:rsidRPr="00440987" w:rsidRDefault="00BF46E6" w:rsidP="004958ED">
      <w:pPr>
        <w:pStyle w:val="fussnoteschattenbericht"/>
      </w:pPr>
      <w:r w:rsidRPr="003B535D">
        <w:rPr>
          <w:rStyle w:val="Funotenzeichen"/>
          <w:b/>
          <w:bCs/>
          <w:vertAlign w:val="baseline"/>
        </w:rPr>
        <w:footnoteRef/>
      </w:r>
      <w:r w:rsidRPr="00440987">
        <w:t xml:space="preserve"> </w:t>
      </w:r>
      <w:r>
        <w:tab/>
      </w:r>
      <w:r w:rsidRPr="00440987">
        <w:t xml:space="preserve">For references, see 2019 CRPD Switzerland NGO Report (INT/CRPD/ICO/CHE/35657), p. 15-16, </w:t>
      </w:r>
      <w:hyperlink r:id="rId4" w:history="1">
        <w:r w:rsidRPr="00252C3B">
          <w:rPr>
            <w:rStyle w:val="Hyperlink"/>
          </w:rPr>
          <w:t>https://intersex.shadowreport.org/public/2019-CRPD-LOI-Swiss-NGO-Zwischengeschlecht-Intersex-IGM.pdf</w:t>
        </w:r>
      </w:hyperlink>
      <w:r w:rsidRPr="00440987">
        <w:t xml:space="preserve"> </w:t>
      </w:r>
    </w:p>
  </w:footnote>
  <w:footnote w:id="6">
    <w:p w:rsidR="00BF46E6" w:rsidRPr="004958ED" w:rsidRDefault="00BF46E6" w:rsidP="004958ED">
      <w:pPr>
        <w:pStyle w:val="fussnoteschattenbericht"/>
      </w:pPr>
      <w:r w:rsidRPr="004958ED">
        <w:rPr>
          <w:rStyle w:val="Funotenzeichen"/>
          <w:vertAlign w:val="baseline"/>
        </w:rPr>
        <w:footnoteRef/>
      </w:r>
      <w:r w:rsidRPr="004958ED">
        <w:t xml:space="preserve"> </w:t>
      </w:r>
      <w:r w:rsidRPr="004958ED">
        <w:tab/>
        <w:t>For references, see ibid., p. 45</w:t>
      </w:r>
      <w:r>
        <w:t>-</w:t>
      </w:r>
      <w:r w:rsidRPr="004958ED">
        <w:t>46</w:t>
      </w:r>
    </w:p>
  </w:footnote>
  <w:footnote w:id="7">
    <w:p w:rsidR="00BF46E6" w:rsidRPr="00440987" w:rsidRDefault="00BF46E6" w:rsidP="004958ED">
      <w:pPr>
        <w:pStyle w:val="fussnoteschattenbericht"/>
      </w:pPr>
      <w:r w:rsidRPr="004958ED">
        <w:rPr>
          <w:rStyle w:val="Funotenzeichen"/>
          <w:vertAlign w:val="baseline"/>
        </w:rPr>
        <w:footnoteRef/>
      </w:r>
      <w:r w:rsidRPr="00440987">
        <w:t xml:space="preserve"> </w:t>
      </w:r>
      <w:r>
        <w:tab/>
      </w:r>
      <w:r w:rsidRPr="00440987">
        <w:t>For more information and references, see ibid., p. 46-50</w:t>
      </w:r>
      <w:r w:rsidRPr="00440987">
        <w:br/>
        <w:t xml:space="preserve">See also 2014 CRC Switzerland NGO Report (INT/CRC/NGO/CHE/18022), p. 70-76, </w:t>
      </w:r>
      <w:r w:rsidRPr="00440987">
        <w:br/>
      </w:r>
      <w:hyperlink r:id="rId5" w:history="1">
        <w:r w:rsidRPr="00252C3B">
          <w:rPr>
            <w:rStyle w:val="Hyperlink"/>
          </w:rPr>
          <w:t>https://intersex.shadowreport.org/public/2014-CRC-Swiss-NGO-Zwischengeschlecht-Intersex-IGM_v2.pdf</w:t>
        </w:r>
      </w:hyperlink>
      <w:r w:rsidRPr="00440987">
        <w:t xml:space="preserve"> </w:t>
      </w:r>
    </w:p>
  </w:footnote>
  <w:footnote w:id="8">
    <w:p w:rsidR="00BF46E6" w:rsidRPr="005838DD" w:rsidRDefault="00BF46E6" w:rsidP="000F60EC">
      <w:pPr>
        <w:pStyle w:val="fussnoteschattenbericht"/>
      </w:pPr>
      <w:r w:rsidRPr="005838DD">
        <w:rPr>
          <w:rStyle w:val="Funotenzeichen"/>
          <w:vertAlign w:val="baseline"/>
        </w:rPr>
        <w:footnoteRef/>
      </w:r>
      <w:r w:rsidRPr="005838DD">
        <w:t xml:space="preserve"> </w:t>
      </w:r>
      <w:r w:rsidRPr="005838DD">
        <w:tab/>
        <w:t xml:space="preserve">See for example 2016 CEDAW France NGO Report (INT/CEDAW/NGO/FRA/24296), </w:t>
      </w:r>
      <w:r w:rsidRPr="005838DD">
        <w:rPr>
          <w:w w:val="90"/>
        </w:rPr>
        <w:t>p. 14-19, 20-23, 57-63</w:t>
      </w:r>
      <w:r w:rsidRPr="005838DD">
        <w:br/>
        <w:t xml:space="preserve">See also 2020 CRC France NGO Report (INT/CRC/NGO/FRA/44537), p. 11-13, </w:t>
      </w:r>
      <w:hyperlink r:id="rId6" w:history="1">
        <w:r w:rsidRPr="005838DD">
          <w:rPr>
            <w:rStyle w:val="Hyperlink"/>
          </w:rPr>
          <w:t>https://intersex.shadowreport.org/public/2020-CRC-France-LOIPR-NGO-Intersex-IGM.pdf</w:t>
        </w:r>
      </w:hyperlink>
      <w:r w:rsidRPr="005838DD">
        <w:t xml:space="preserve"> </w:t>
      </w:r>
    </w:p>
  </w:footnote>
  <w:footnote w:id="9">
    <w:p w:rsidR="00BF46E6" w:rsidRPr="00440987" w:rsidRDefault="00BF46E6" w:rsidP="004958ED">
      <w:pPr>
        <w:pStyle w:val="fussnoteschattenbericht"/>
      </w:pPr>
      <w:r w:rsidRPr="005838DD">
        <w:rPr>
          <w:rStyle w:val="Funotenzeichen"/>
          <w:vertAlign w:val="baseline"/>
        </w:rPr>
        <w:footnoteRef/>
      </w:r>
      <w:r w:rsidRPr="005838DD">
        <w:t xml:space="preserve"> </w:t>
      </w:r>
      <w:r w:rsidRPr="005838DD">
        <w:tab/>
        <w:t>See 2016 CEDAW France NGO Report (INT/CEDAW/NGO/FRA/24296), p. 38-47</w:t>
      </w:r>
    </w:p>
  </w:footnote>
  <w:footnote w:id="10">
    <w:p w:rsidR="00BF46E6" w:rsidRPr="00440987" w:rsidRDefault="00BF46E6" w:rsidP="004958ED">
      <w:pPr>
        <w:pStyle w:val="fussnoteschattenbericht"/>
      </w:pPr>
      <w:r w:rsidRPr="00107BE2">
        <w:rPr>
          <w:rStyle w:val="Funotenzeichen"/>
          <w:vertAlign w:val="baseline"/>
        </w:rPr>
        <w:footnoteRef/>
      </w:r>
      <w:r w:rsidRPr="00107BE2">
        <w:t xml:space="preserve"> </w:t>
      </w:r>
      <w:r>
        <w:tab/>
      </w:r>
      <w:r w:rsidRPr="007C029E">
        <w:t>CRC/C/CHE/CO/2-4, CAT/C/CHE/CO/7, CRC/C/CHL/CO/4-5, CAT/C/CHN-HKG/CO/4-5, CAT/C/DNK/CO/6-7, CRC/C/IRL/CO/3-4, CAT/C/FRA/CO/7, CRC/C/NPL/CO/3-5, CRC/C/GBR/CO/5, CEDAW/C/CHE/CO/4-5, CEDAW/C/DEU/CO/7-8, CCPR/C/CHE/CO/4, CEDAW/C/CHL/CO/7, CEDAW/C/LUX/CO/6-7, CAT/C/NLD/CO/7, CAT/C/GBR/CO/6, CRC/C/MLT/CO/3-6, CAT/C/NZL/CO/7, CAT/C/DNK/CO/8, CAT/C/CHE/CO/8, CAT/C/FIN/CO/8</w:t>
      </w:r>
    </w:p>
  </w:footnote>
  <w:footnote w:id="11">
    <w:p w:rsidR="00BF46E6" w:rsidRPr="00440987" w:rsidRDefault="00BF46E6" w:rsidP="009777FF">
      <w:pPr>
        <w:pStyle w:val="fussnoteschattenbericht"/>
      </w:pPr>
      <w:r w:rsidRPr="000A5F2F">
        <w:rPr>
          <w:rStyle w:val="Funotenzeichen"/>
          <w:vertAlign w:val="baseline"/>
        </w:rPr>
        <w:footnoteRef/>
      </w:r>
      <w:r w:rsidRPr="00440987">
        <w:t xml:space="preserve"> </w:t>
      </w:r>
      <w:r>
        <w:tab/>
        <w:t>Intersex Society of North America (ISNA) (1994), Hermaphrodites with Attitudes, Winter 1994, p. 3, 5</w:t>
      </w:r>
      <w:r>
        <w:br/>
      </w:r>
      <w:hyperlink r:id="rId7" w:history="1">
        <w:r w:rsidRPr="00464E75">
          <w:rPr>
            <w:rStyle w:val="Hyperlink"/>
          </w:rPr>
          <w:t>https://isna.org/files/hwa/winter1995.pdf</w:t>
        </w:r>
      </w:hyperlink>
      <w:r>
        <w:t xml:space="preserve"> </w:t>
      </w:r>
    </w:p>
  </w:footnote>
  <w:footnote w:id="12">
    <w:p w:rsidR="00BF46E6" w:rsidRPr="00440987" w:rsidRDefault="00BF46E6" w:rsidP="009777FF">
      <w:pPr>
        <w:pStyle w:val="fussnoteschattenbericht"/>
      </w:pPr>
      <w:r w:rsidRPr="004958ED">
        <w:rPr>
          <w:rStyle w:val="Funotenzeichen"/>
          <w:vertAlign w:val="baseline"/>
        </w:rPr>
        <w:footnoteRef/>
      </w:r>
      <w:r w:rsidRPr="004958ED">
        <w:t xml:space="preserve"> </w:t>
      </w:r>
      <w:r>
        <w:tab/>
        <w:t xml:space="preserve">Daniela Truffer, Markus Bauer (2015), </w:t>
      </w:r>
      <w:r w:rsidRPr="00DE4A94">
        <w:t>Intersex Genital Mutilations</w:t>
      </w:r>
      <w:r>
        <w:t xml:space="preserve"> </w:t>
      </w:r>
      <w:proofErr w:type="gramStart"/>
      <w:r w:rsidRPr="00DE4A94">
        <w:t>On</w:t>
      </w:r>
      <w:proofErr w:type="gramEnd"/>
      <w:r w:rsidRPr="00DE4A94">
        <w:t xml:space="preserve"> A Global Scale</w:t>
      </w:r>
      <w:r>
        <w:t xml:space="preserve">. </w:t>
      </w:r>
      <w:r w:rsidRPr="00DE4A94">
        <w:t>Briefing for CRC, Geneva 21.01.2015</w:t>
      </w:r>
      <w:r>
        <w:t>, p. 6-14, 56-61</w:t>
      </w:r>
      <w:r>
        <w:br/>
      </w:r>
      <w:hyperlink r:id="rId8" w:history="1">
        <w:r w:rsidRPr="00464E75">
          <w:rPr>
            <w:rStyle w:val="Hyperlink"/>
          </w:rPr>
          <w:t>https://intersex.shadowreport.org/public/Zwischengeschlecht_2015-CRC-Briefing_Intersex-IGM_web.pdf</w:t>
        </w:r>
      </w:hyperlink>
      <w:r>
        <w:t xml:space="preserve"> </w:t>
      </w:r>
    </w:p>
  </w:footnote>
  <w:footnote w:id="13">
    <w:p w:rsidR="00BF46E6" w:rsidRPr="00286D52" w:rsidRDefault="00BF46E6" w:rsidP="004958ED">
      <w:pPr>
        <w:pStyle w:val="fussnoteschattenbericht"/>
      </w:pPr>
      <w:r w:rsidRPr="004958ED">
        <w:rPr>
          <w:rStyle w:val="Funotenzeichen3"/>
          <w:kern w:val="20"/>
          <w:vertAlign w:val="baseline"/>
        </w:rPr>
        <w:footnoteRef/>
      </w:r>
      <w:r w:rsidRPr="00286D52">
        <w:tab/>
      </w:r>
      <w:r w:rsidRPr="00286D52">
        <w:rPr>
          <w:b/>
        </w:rPr>
        <w:t>CAT, CRC, CRPD, SPT, SRT, SRSG VAC, COE, ACHPR, IACHR</w:t>
      </w:r>
      <w:r w:rsidRPr="00286D52">
        <w:t xml:space="preserve"> (2016), “End violence and harmful medical practices on intersex children and adults, UN and regional experts urge”,</w:t>
      </w:r>
      <w:r w:rsidRPr="00286D52">
        <w:br/>
      </w:r>
      <w:hyperlink r:id="rId9" w:history="1">
        <w:r w:rsidRPr="00286D52">
          <w:rPr>
            <w:rStyle w:val="Hyperlink"/>
          </w:rPr>
          <w:t>http://www.ohchr.org/EN/NewsEvents/Pages/DisplayNews.aspx?NewsID=20739&amp;LangID=E</w:t>
        </w:r>
      </w:hyperlink>
    </w:p>
  </w:footnote>
  <w:footnote w:id="14">
    <w:p w:rsidR="00BF46E6" w:rsidRPr="00440987" w:rsidRDefault="00BF46E6" w:rsidP="004958ED">
      <w:pPr>
        <w:pStyle w:val="fussnoteschattenbericht"/>
      </w:pPr>
      <w:r w:rsidRPr="004958ED">
        <w:rPr>
          <w:rStyle w:val="Funotenzeichen"/>
          <w:vertAlign w:val="baseline"/>
        </w:rPr>
        <w:footnoteRef/>
      </w:r>
      <w:r w:rsidRPr="00440987">
        <w:t xml:space="preserve"> </w:t>
      </w:r>
      <w:r>
        <w:tab/>
      </w:r>
      <w:r w:rsidRPr="00741C1D">
        <w:t>CRC/C/ZAF/CO/2, CEDAW/C/CHE/CO/4-5, CRPD/C/CHE/CO/1, CRPD/C/BEL/CO/2-3, CRPD/C/</w:t>
      </w:r>
      <w:r>
        <w:t>NLD/</w:t>
      </w:r>
      <w:r w:rsidRPr="00741C1D">
        <w:t>CO/1, CRC/C/ARG/CO/7</w:t>
      </w:r>
    </w:p>
  </w:footnote>
  <w:footnote w:id="15">
    <w:p w:rsidR="00BF46E6" w:rsidRPr="00440987" w:rsidRDefault="00BF46E6" w:rsidP="004958ED">
      <w:pPr>
        <w:pStyle w:val="fussnoteschattenbericht"/>
      </w:pPr>
      <w:r w:rsidRPr="004958ED">
        <w:rPr>
          <w:rStyle w:val="Funotenzeichen"/>
          <w:vertAlign w:val="baseline"/>
        </w:rPr>
        <w:footnoteRef/>
      </w:r>
      <w:r w:rsidRPr="00440987">
        <w:t xml:space="preserve"> </w:t>
      </w:r>
      <w:r>
        <w:tab/>
      </w:r>
      <w:r w:rsidRPr="00440987">
        <w:t xml:space="preserve">See </w:t>
      </w:r>
      <w:r>
        <w:t>2020</w:t>
      </w:r>
      <w:r w:rsidRPr="00440987">
        <w:t xml:space="preserve"> </w:t>
      </w:r>
      <w:r>
        <w:t>CCPR</w:t>
      </w:r>
      <w:r w:rsidRPr="00440987">
        <w:t xml:space="preserve"> </w:t>
      </w:r>
      <w:r>
        <w:t>Kenya</w:t>
      </w:r>
      <w:r w:rsidRPr="00440987">
        <w:t xml:space="preserve"> NGO Report (</w:t>
      </w:r>
      <w:r>
        <w:t>INT/CCPR/ICO/KEN/41038</w:t>
      </w:r>
      <w:r w:rsidRPr="00440987">
        <w:t xml:space="preserve">), p. </w:t>
      </w:r>
      <w:r>
        <w:t xml:space="preserve">10-13, </w:t>
      </w:r>
      <w:hyperlink r:id="rId10" w:history="1">
        <w:r w:rsidRPr="00464E75">
          <w:rPr>
            <w:rStyle w:val="Hyperlink"/>
          </w:rPr>
          <w:t>https://intersex.shadowreport.org/public/2020-CCPR-LOI-Kenya-NGO-Intersex-StopIGM.pdf</w:t>
        </w:r>
      </w:hyperlink>
      <w:r>
        <w:t xml:space="preserve"> </w:t>
      </w:r>
    </w:p>
  </w:footnote>
  <w:footnote w:id="16">
    <w:p w:rsidR="00BF46E6" w:rsidRPr="00440987" w:rsidRDefault="00BF46E6" w:rsidP="004958ED">
      <w:pPr>
        <w:pStyle w:val="fussnoteschattenbericht"/>
      </w:pPr>
      <w:r w:rsidRPr="004958ED">
        <w:rPr>
          <w:rStyle w:val="Funotenzeichen"/>
          <w:vertAlign w:val="baseline"/>
        </w:rPr>
        <w:footnoteRef/>
      </w:r>
      <w:r w:rsidRPr="004958ED">
        <w:t xml:space="preserve"> </w:t>
      </w:r>
      <w:r>
        <w:tab/>
      </w:r>
      <w:r w:rsidRPr="00440987">
        <w:t xml:space="preserve">See </w:t>
      </w:r>
      <w:r>
        <w:t>2016</w:t>
      </w:r>
      <w:r w:rsidRPr="00440987">
        <w:t xml:space="preserve"> </w:t>
      </w:r>
      <w:r>
        <w:t>CRC</w:t>
      </w:r>
      <w:r w:rsidRPr="00440987">
        <w:t xml:space="preserve"> </w:t>
      </w:r>
      <w:r>
        <w:t>South Africa</w:t>
      </w:r>
      <w:r w:rsidRPr="00440987">
        <w:t xml:space="preserve"> NGO Report (</w:t>
      </w:r>
      <w:r>
        <w:t>INT/CRC/NGO/ZAF/4911</w:t>
      </w:r>
      <w:r w:rsidRPr="00440987">
        <w:t xml:space="preserve">), p. </w:t>
      </w:r>
      <w:r>
        <w:t xml:space="preserve">11-12, </w:t>
      </w:r>
      <w:r>
        <w:br/>
      </w:r>
      <w:hyperlink r:id="rId11" w:history="1">
        <w:r w:rsidRPr="00464E75">
          <w:rPr>
            <w:rStyle w:val="Hyperlink"/>
          </w:rPr>
          <w:t>http://intersex.shadowreport.org/public/2016-CRC-ZA-NGO-Zwischengeschlecht-Intersex-IGM.pdf</w:t>
        </w:r>
      </w:hyperlink>
      <w:r>
        <w:t xml:space="preserve"> </w:t>
      </w:r>
    </w:p>
  </w:footnote>
  <w:footnote w:id="17">
    <w:p w:rsidR="00BF46E6" w:rsidRPr="00440987" w:rsidRDefault="00BF46E6" w:rsidP="004958ED">
      <w:pPr>
        <w:pStyle w:val="fussnoteschattenbericht"/>
      </w:pPr>
      <w:r w:rsidRPr="004958ED">
        <w:rPr>
          <w:rStyle w:val="Funotenzeichen"/>
          <w:vertAlign w:val="baseline"/>
        </w:rPr>
        <w:footnoteRef/>
      </w:r>
      <w:r w:rsidRPr="004958ED">
        <w:t xml:space="preserve"> </w:t>
      </w:r>
      <w:r>
        <w:tab/>
      </w:r>
      <w:r w:rsidRPr="00440987">
        <w:t xml:space="preserve">See </w:t>
      </w:r>
      <w:r>
        <w:t>2024</w:t>
      </w:r>
      <w:r w:rsidRPr="00440987">
        <w:t xml:space="preserve"> </w:t>
      </w:r>
      <w:r>
        <w:t>CCPR</w:t>
      </w:r>
      <w:r w:rsidRPr="00440987">
        <w:t xml:space="preserve"> </w:t>
      </w:r>
      <w:r>
        <w:t>South Africa</w:t>
      </w:r>
      <w:r w:rsidRPr="00440987">
        <w:t xml:space="preserve"> NGO Report (</w:t>
      </w:r>
      <w:r>
        <w:t>INT/CCPR/ICS/ZAF/59338</w:t>
      </w:r>
      <w:r w:rsidRPr="00440987">
        <w:t xml:space="preserve">), p. </w:t>
      </w:r>
      <w:r>
        <w:t xml:space="preserve">19-21, </w:t>
      </w:r>
      <w:hyperlink r:id="rId12" w:history="1">
        <w:r w:rsidRPr="00464E75">
          <w:rPr>
            <w:rStyle w:val="Hyperlink"/>
          </w:rPr>
          <w:t>https://intersex.shadowreport.org/public/2024-CCPR-South-Africa-NGO-Intersex-StopIGM.pdf</w:t>
        </w:r>
      </w:hyperlink>
      <w:r>
        <w:t xml:space="preserve"> </w:t>
      </w:r>
    </w:p>
  </w:footnote>
  <w:footnote w:id="18">
    <w:p w:rsidR="00BF46E6" w:rsidRPr="00440987" w:rsidRDefault="00BF46E6" w:rsidP="004958ED">
      <w:pPr>
        <w:pStyle w:val="fussnoteschattenbericht"/>
      </w:pPr>
      <w:r w:rsidRPr="004958ED">
        <w:rPr>
          <w:rStyle w:val="Funotenzeichen"/>
          <w:vertAlign w:val="baseline"/>
        </w:rPr>
        <w:footnoteRef/>
      </w:r>
      <w:r w:rsidRPr="004958ED">
        <w:t xml:space="preserve"> </w:t>
      </w:r>
      <w:r>
        <w:tab/>
      </w:r>
      <w:r w:rsidRPr="00440987">
        <w:t xml:space="preserve">For references, see 2019 CRPD Switzerland NGO Report (INT/CRPD/ICO/CHE/35657), p. 15-16, </w:t>
      </w:r>
      <w:hyperlink r:id="rId13" w:history="1">
        <w:r w:rsidRPr="00252C3B">
          <w:rPr>
            <w:rStyle w:val="Hyperlink"/>
          </w:rPr>
          <w:t>https://intersex.shadowreport.org/public/2019-CRPD-LOI-Swiss-NGO-Zwischengeschlecht-Intersex-IGM.pdf</w:t>
        </w:r>
      </w:hyperlink>
      <w:r w:rsidRPr="00440987">
        <w:t xml:space="preserve"> </w:t>
      </w:r>
    </w:p>
  </w:footnote>
  <w:footnote w:id="19">
    <w:p w:rsidR="00BF46E6" w:rsidRPr="00440987" w:rsidRDefault="00BF46E6" w:rsidP="004958ED">
      <w:pPr>
        <w:pStyle w:val="fussnoteschattenbericht"/>
      </w:pPr>
      <w:r w:rsidRPr="004958ED">
        <w:rPr>
          <w:rStyle w:val="Funotenzeichen"/>
          <w:vertAlign w:val="baseline"/>
        </w:rPr>
        <w:footnoteRef/>
      </w:r>
      <w:r w:rsidRPr="004958ED">
        <w:t xml:space="preserve"> </w:t>
      </w:r>
      <w:r>
        <w:tab/>
      </w:r>
      <w:r w:rsidRPr="000355D6">
        <w:t>CEDAW/C/NPL/CO/6, CCPR/C/KEN/CO/4</w:t>
      </w:r>
    </w:p>
  </w:footnote>
  <w:footnote w:id="20">
    <w:p w:rsidR="00BF46E6" w:rsidRPr="00440987" w:rsidRDefault="00BF46E6" w:rsidP="004958ED">
      <w:pPr>
        <w:pStyle w:val="fussnoteschattenbericht"/>
      </w:pPr>
      <w:r w:rsidRPr="004958ED">
        <w:rPr>
          <w:rStyle w:val="Funotenzeichen"/>
          <w:vertAlign w:val="baseline"/>
        </w:rPr>
        <w:footnoteRef/>
      </w:r>
      <w:r w:rsidRPr="004958ED">
        <w:t xml:space="preserve"> </w:t>
      </w:r>
      <w:r>
        <w:tab/>
      </w:r>
      <w:r w:rsidRPr="000355D6">
        <w:t>CRC/C/NPL/CO/3-5</w:t>
      </w:r>
      <w:r>
        <w:t xml:space="preserve">, </w:t>
      </w:r>
      <w:r w:rsidRPr="000355D6">
        <w:t>CRPD/C/IND/CO/1</w:t>
      </w:r>
    </w:p>
  </w:footnote>
  <w:footnote w:id="21">
    <w:p w:rsidR="00BF46E6" w:rsidRPr="00440987" w:rsidRDefault="00BF46E6" w:rsidP="004958ED">
      <w:pPr>
        <w:pStyle w:val="fussnoteschattenbericht"/>
      </w:pPr>
      <w:r w:rsidRPr="004958ED">
        <w:rPr>
          <w:rStyle w:val="Funotenzeichen"/>
          <w:vertAlign w:val="baseline"/>
        </w:rPr>
        <w:footnoteRef/>
      </w:r>
      <w:r w:rsidRPr="004958ED">
        <w:t xml:space="preserve"> </w:t>
      </w:r>
      <w:r>
        <w:tab/>
      </w:r>
      <w:r w:rsidRPr="00440987">
        <w:t xml:space="preserve">For more information and references, see 2014 CRC Switzerland NGO Report (INT/CRC/NGO/CHE/18022), </w:t>
      </w:r>
      <w:r w:rsidRPr="00440987">
        <w:br/>
        <w:t xml:space="preserve">p. 51-53, 69, 84 </w:t>
      </w:r>
    </w:p>
  </w:footnote>
  <w:footnote w:id="22">
    <w:p w:rsidR="00BF46E6" w:rsidRPr="00440987" w:rsidRDefault="00BF46E6" w:rsidP="004958ED">
      <w:pPr>
        <w:pStyle w:val="fussnoteschattenbericht"/>
      </w:pPr>
      <w:r w:rsidRPr="004958ED">
        <w:rPr>
          <w:rStyle w:val="Funotenzeichen"/>
          <w:vertAlign w:val="baseline"/>
        </w:rPr>
        <w:footnoteRef/>
      </w:r>
      <w:r w:rsidRPr="004958ED">
        <w:t xml:space="preserve"> </w:t>
      </w:r>
      <w:r>
        <w:tab/>
        <w:t xml:space="preserve">Daniela Truffer, Markus Bauer (2023), </w:t>
      </w:r>
      <w:r w:rsidRPr="00F1589F">
        <w:t>Bias in intersex research and the lack of</w:t>
      </w:r>
      <w:r>
        <w:t xml:space="preserve"> </w:t>
      </w:r>
      <w:r w:rsidRPr="00F1589F">
        <w:t>implementation of intersex human rights.</w:t>
      </w:r>
      <w:r>
        <w:t xml:space="preserve"> </w:t>
      </w:r>
      <w:r w:rsidRPr="00DE4A94">
        <w:t>Presentation at Centring Intersex Conference, 21.02.2023</w:t>
      </w:r>
      <w:r w:rsidRPr="00440987">
        <w:t xml:space="preserve"> </w:t>
      </w:r>
      <w:r>
        <w:br/>
      </w:r>
      <w:hyperlink r:id="rId14" w:history="1">
        <w:r w:rsidRPr="00464E75">
          <w:rPr>
            <w:rStyle w:val="Hyperlink"/>
          </w:rPr>
          <w:t>https://stopigm.org/public/Bias-in-intersex-research-Centring-Intersex-Truffer-Bauer-StopIGM-21-02-2023.pdf</w:t>
        </w:r>
      </w:hyperlink>
      <w:r>
        <w:t xml:space="preserve"> </w:t>
      </w:r>
    </w:p>
  </w:footnote>
  <w:footnote w:id="23">
    <w:p w:rsidR="00BF46E6" w:rsidRPr="004A6E95" w:rsidRDefault="00BF46E6" w:rsidP="004958ED">
      <w:pPr>
        <w:pStyle w:val="fussnoteschattenbericht"/>
      </w:pPr>
      <w:r w:rsidRPr="004958ED">
        <w:rPr>
          <w:rStyle w:val="Funotenzeichen"/>
          <w:vertAlign w:val="baseline"/>
        </w:rPr>
        <w:footnoteRef/>
      </w:r>
      <w:r w:rsidRPr="004958ED">
        <w:t xml:space="preserve"> </w:t>
      </w:r>
      <w:r>
        <w:tab/>
      </w:r>
      <w:r w:rsidRPr="00440987">
        <w:t xml:space="preserve">The Nazi standard </w:t>
      </w:r>
      <w:r w:rsidRPr="004B5651">
        <w:t xml:space="preserve">textbook </w:t>
      </w:r>
      <w:r w:rsidRPr="00440987">
        <w:t>on “racial hygiene” discusses intersex diagnoses including “hypospadias”, “</w:t>
      </w:r>
      <w:proofErr w:type="spellStart"/>
      <w:r w:rsidRPr="00440987">
        <w:t>pseudohermaphroditism</w:t>
      </w:r>
      <w:proofErr w:type="spellEnd"/>
      <w:r w:rsidRPr="00440987">
        <w:t>”, “intersexuality” and “</w:t>
      </w:r>
      <w:proofErr w:type="spellStart"/>
      <w:r w:rsidRPr="00440987">
        <w:t>cryptorchism</w:t>
      </w:r>
      <w:proofErr w:type="spellEnd"/>
      <w:r w:rsidRPr="00440987">
        <w:t>” as “pathological hereditary dispositions”, “abnormal mutations” and “result of racial mixing”, see Erwin Baur, Eugen Fischer, Fritz Lenz (1936), “</w:t>
      </w:r>
      <w:proofErr w:type="spellStart"/>
      <w:r w:rsidRPr="00440987">
        <w:t>Menschliche</w:t>
      </w:r>
      <w:proofErr w:type="spellEnd"/>
      <w:r w:rsidRPr="00440987">
        <w:t xml:space="preserve"> </w:t>
      </w:r>
      <w:proofErr w:type="spellStart"/>
      <w:r w:rsidRPr="00440987">
        <w:t>Erblehre</w:t>
      </w:r>
      <w:proofErr w:type="spellEnd"/>
      <w:r w:rsidRPr="00440987">
        <w:t xml:space="preserve"> und </w:t>
      </w:r>
      <w:proofErr w:type="spellStart"/>
      <w:r w:rsidRPr="00440987">
        <w:t>Rassenhygiene</w:t>
      </w:r>
      <w:proofErr w:type="spellEnd"/>
      <w:r w:rsidRPr="00440987">
        <w:t>”, Band 1 “</w:t>
      </w:r>
      <w:proofErr w:type="spellStart"/>
      <w:r w:rsidRPr="00440987">
        <w:t>Menschliche</w:t>
      </w:r>
      <w:proofErr w:type="spellEnd"/>
      <w:r w:rsidRPr="00440987">
        <w:t xml:space="preserve"> </w:t>
      </w:r>
      <w:proofErr w:type="spellStart"/>
      <w:r w:rsidRPr="00440987">
        <w:t>Erblehre</w:t>
      </w:r>
      <w:proofErr w:type="spellEnd"/>
      <w:r w:rsidRPr="00440987">
        <w:t>”, “</w:t>
      </w:r>
      <w:proofErr w:type="spellStart"/>
      <w:r w:rsidRPr="00440987">
        <w:t>Dritter</w:t>
      </w:r>
      <w:proofErr w:type="spellEnd"/>
      <w:r w:rsidRPr="00440987">
        <w:t xml:space="preserve"> </w:t>
      </w:r>
      <w:proofErr w:type="spellStart"/>
      <w:r w:rsidRPr="00440987">
        <w:t>Abschnitt</w:t>
      </w:r>
      <w:proofErr w:type="spellEnd"/>
      <w:r w:rsidRPr="00440987">
        <w:t xml:space="preserve">: Die </w:t>
      </w:r>
      <w:proofErr w:type="spellStart"/>
      <w:r w:rsidRPr="00440987">
        <w:t>krankhaften</w:t>
      </w:r>
      <w:proofErr w:type="spellEnd"/>
      <w:r w:rsidRPr="00440987">
        <w:t xml:space="preserve"> </w:t>
      </w:r>
      <w:proofErr w:type="spellStart"/>
      <w:r w:rsidRPr="00440987">
        <w:t>Erbanlagen</w:t>
      </w:r>
      <w:proofErr w:type="spellEnd"/>
      <w:r w:rsidRPr="00440987">
        <w:t xml:space="preserve">”, 4. </w:t>
      </w:r>
      <w:proofErr w:type="spellStart"/>
      <w:r w:rsidRPr="004A6E95">
        <w:t>Auflage</w:t>
      </w:r>
      <w:proofErr w:type="spellEnd"/>
      <w:r w:rsidRPr="004A6E95">
        <w:t xml:space="preserve">, München 1936, p. 402-404, </w:t>
      </w:r>
      <w:r>
        <w:br/>
      </w:r>
      <w:hyperlink r:id="rId15" w:history="1">
        <w:r w:rsidRPr="001C0008">
          <w:rPr>
            <w:rStyle w:val="Hyperlink"/>
            <w:sz w:val="18"/>
            <w:szCs w:val="18"/>
          </w:rPr>
          <w:t>https://archive.org/details/BaurErwin-Menschliche-Auslese-und-Rassenhygiene-Band01/mode/1up</w:t>
        </w:r>
      </w:hyperlink>
      <w:r w:rsidRPr="004A6E95">
        <w:rPr>
          <w:sz w:val="18"/>
          <w:szCs w:val="18"/>
        </w:rPr>
        <w:t xml:space="preserve"> </w:t>
      </w:r>
      <w:r>
        <w:rPr>
          <w:sz w:val="18"/>
          <w:szCs w:val="18"/>
        </w:rPr>
        <w:br/>
      </w:r>
      <w:r>
        <w:t xml:space="preserve">See also </w:t>
      </w:r>
      <w:r w:rsidRPr="001D6628">
        <w:t>“The Racist Roots of Intersex Genital Mutilations”</w:t>
      </w:r>
      <w:r>
        <w:t>,</w:t>
      </w:r>
      <w:r w:rsidRPr="001D6628">
        <w:t xml:space="preserve"> </w:t>
      </w:r>
      <w:r>
        <w:br/>
      </w:r>
      <w:r>
        <w:rPr>
          <w:rStyle w:val="Hyperlink"/>
        </w:rPr>
        <w:t>http://stop.genitalmutilation.org/post/Racist-Roots-of-Intersex-Genital-Mutilations-IGM</w:t>
      </w:r>
    </w:p>
  </w:footnote>
  <w:footnote w:id="24">
    <w:p w:rsidR="00BF46E6" w:rsidRPr="00440987" w:rsidRDefault="00BF46E6" w:rsidP="004958ED">
      <w:pPr>
        <w:pStyle w:val="fussnoteschattenbericht"/>
      </w:pPr>
      <w:r w:rsidRPr="004958ED">
        <w:rPr>
          <w:rStyle w:val="Funotenzeichen"/>
          <w:vertAlign w:val="baseline"/>
        </w:rPr>
        <w:footnoteRef/>
      </w:r>
      <w:r w:rsidRPr="004958ED">
        <w:t xml:space="preserve"> </w:t>
      </w:r>
      <w:r>
        <w:tab/>
      </w:r>
      <w:r w:rsidRPr="00440987">
        <w:t xml:space="preserve">Helga </w:t>
      </w:r>
      <w:proofErr w:type="spellStart"/>
      <w:r w:rsidRPr="00440987">
        <w:t>Satzinger</w:t>
      </w:r>
      <w:proofErr w:type="spellEnd"/>
      <w:r w:rsidRPr="00440987">
        <w:t xml:space="preserve"> (2009), Racial Purity, Stable Genes, and Sex Difference. Gender in the Making of Genetic Concepts by Richard Goldschmidt and Fritz Lenz, 1916-1936. In: Susanne Heim, Carola Sachse, Mark Walker, The Kaiser Wilhelm Society for the Advancement of Science under National Socialism, Cambridge University Press, p. 145-172, at 161-162, </w:t>
      </w:r>
      <w:hyperlink r:id="rId16" w:history="1">
        <w:r w:rsidRPr="00440987">
          <w:rPr>
            <w:rStyle w:val="Hyperlink"/>
          </w:rPr>
          <w:t>https://www.genderopen.de/handle/25595/247</w:t>
        </w:r>
      </w:hyperlink>
      <w:r w:rsidRPr="00440987">
        <w:t xml:space="preserve"> </w:t>
      </w:r>
    </w:p>
  </w:footnote>
  <w:footnote w:id="25">
    <w:p w:rsidR="00BF46E6" w:rsidRPr="00440987" w:rsidRDefault="00BF46E6" w:rsidP="004958ED">
      <w:pPr>
        <w:pStyle w:val="fussnoteschattenbericht"/>
      </w:pPr>
      <w:r w:rsidRPr="004958ED">
        <w:rPr>
          <w:rStyle w:val="Funotenzeichen"/>
          <w:vertAlign w:val="baseline"/>
        </w:rPr>
        <w:footnoteRef/>
      </w:r>
      <w:r w:rsidRPr="004958ED">
        <w:t xml:space="preserve"> </w:t>
      </w:r>
      <w:r>
        <w:tab/>
      </w:r>
      <w:r w:rsidRPr="00440987">
        <w:t>In the WHO “World Atlas of Birth Defects (2nd Edition)”, many intersex diagnoses are listed, including “indeterminate sex” and “hypospadias”,</w:t>
      </w:r>
      <w:r>
        <w:t xml:space="preserve"> </w:t>
      </w:r>
      <w:hyperlink r:id="rId17" w:history="1">
        <w:r w:rsidRPr="002F25A4">
          <w:rPr>
            <w:rStyle w:val="Hyperlink"/>
            <w:sz w:val="18"/>
            <w:szCs w:val="18"/>
          </w:rPr>
          <w:t>https://apps.who.int/iris/bitstream/handle/10665/42630/9241580291_eng.pdf</w:t>
        </w:r>
      </w:hyperlink>
      <w:r>
        <w:t xml:space="preserve"> </w:t>
      </w:r>
    </w:p>
  </w:footnote>
  <w:footnote w:id="26">
    <w:p w:rsidR="00BF46E6" w:rsidRPr="001D6628" w:rsidRDefault="00BF46E6" w:rsidP="004958ED">
      <w:pPr>
        <w:pStyle w:val="fussnoteschattenbericht"/>
      </w:pPr>
      <w:r w:rsidRPr="00A306C1">
        <w:rPr>
          <w:rStyle w:val="Funotenzeichen"/>
          <w:vertAlign w:val="baseline"/>
        </w:rPr>
        <w:footnoteRef/>
      </w:r>
      <w:r w:rsidRPr="00A306C1">
        <w:tab/>
        <w:t xml:space="preserve">For 500 years of “scientific” stigma in a nutshell, see 2016 CEDAW France NGO Report (INT/CEDAW/FRA/NGO/24296), p. 7, </w:t>
      </w:r>
      <w:hyperlink r:id="rId18" w:history="1">
        <w:r w:rsidRPr="00A306C1">
          <w:rPr>
            <w:rStyle w:val="Hyperlink"/>
          </w:rPr>
          <w:t>http://intersex.shadowreport.org/public/2016-CEDAW-France-NGO-Zwischengeschlecht-Intersex-IGM.pdf</w:t>
        </w:r>
      </w:hyperlink>
      <w:r>
        <w:t xml:space="preserve"> </w:t>
      </w:r>
    </w:p>
  </w:footnote>
  <w:footnote w:id="27">
    <w:p w:rsidR="00BF46E6" w:rsidRPr="00440987" w:rsidRDefault="00BF46E6" w:rsidP="00B8096F">
      <w:pPr>
        <w:pStyle w:val="fussnoteschattenbericht"/>
      </w:pPr>
      <w:r w:rsidRPr="004958ED">
        <w:rPr>
          <w:rStyle w:val="Funotenzeichen"/>
          <w:vertAlign w:val="baseline"/>
        </w:rPr>
        <w:footnoteRef/>
      </w:r>
      <w:r w:rsidRPr="004958ED">
        <w:t xml:space="preserve"> </w:t>
      </w:r>
      <w:r>
        <w:tab/>
        <w:t xml:space="preserve">Daniela Truffer, Markus Bauer (2023), </w:t>
      </w:r>
      <w:r w:rsidRPr="00F1589F">
        <w:t>Bias in intersex research and the lack of</w:t>
      </w:r>
      <w:r>
        <w:t xml:space="preserve"> </w:t>
      </w:r>
      <w:r w:rsidRPr="00F1589F">
        <w:t>implementation of intersex human rights.</w:t>
      </w:r>
      <w:r>
        <w:t xml:space="preserve"> </w:t>
      </w:r>
      <w:r w:rsidRPr="00DE4A94">
        <w:t>Presentation at Centring Intersex Conference, 21.02.2023</w:t>
      </w:r>
      <w:r w:rsidRPr="00440987">
        <w:t xml:space="preserve"> </w:t>
      </w:r>
      <w:r>
        <w:br/>
      </w:r>
      <w:hyperlink r:id="rId19" w:history="1">
        <w:r w:rsidRPr="00464E75">
          <w:rPr>
            <w:rStyle w:val="Hyperlink"/>
          </w:rPr>
          <w:t>https://stopigm.org/public/Bias-in-intersex-research-Centring-Intersex-Truffer-Bauer-StopIGM-21-02-2023.pdf</w:t>
        </w:r>
      </w:hyperlink>
      <w:r>
        <w:t xml:space="preserve"> </w:t>
      </w:r>
    </w:p>
  </w:footnote>
  <w:footnote w:id="28">
    <w:p w:rsidR="00BF46E6" w:rsidRPr="00440987" w:rsidRDefault="00BF46E6" w:rsidP="004958ED">
      <w:pPr>
        <w:pStyle w:val="fussnoteschattenbericht"/>
      </w:pPr>
      <w:r w:rsidRPr="004958ED">
        <w:rPr>
          <w:rStyle w:val="Funotenzeichen"/>
          <w:vertAlign w:val="baseline"/>
        </w:rPr>
        <w:footnoteRef/>
      </w:r>
      <w:r w:rsidRPr="004958ED">
        <w:t xml:space="preserve"> </w:t>
      </w:r>
      <w:r>
        <w:tab/>
      </w:r>
      <w:r w:rsidRPr="00440987">
        <w:t xml:space="preserve">For more information and sources, see 2016 CEDAW France NGO Report (INT/CEDAW/NGO/FRA/24296), </w:t>
      </w:r>
      <w:r w:rsidRPr="00440987">
        <w:br/>
        <w:t>p. 7, 66</w:t>
      </w:r>
    </w:p>
  </w:footnote>
  <w:footnote w:id="29">
    <w:p w:rsidR="00BF46E6" w:rsidRPr="00440987" w:rsidRDefault="00BF46E6" w:rsidP="004958ED">
      <w:pPr>
        <w:pStyle w:val="fussnoteschattenbericht"/>
      </w:pPr>
      <w:r w:rsidRPr="004958ED">
        <w:rPr>
          <w:rStyle w:val="Funotenzeichen"/>
          <w:vertAlign w:val="baseline"/>
        </w:rPr>
        <w:footnoteRef/>
      </w:r>
      <w:r w:rsidRPr="004958ED">
        <w:t xml:space="preserve"> </w:t>
      </w:r>
      <w:r>
        <w:tab/>
      </w:r>
      <w:r w:rsidRPr="00440987">
        <w:t xml:space="preserve">Ellen Feder, Alice Dreger (2016), “Still ignoring human rights in intersex care”, Journal of </w:t>
      </w:r>
      <w:proofErr w:type="spellStart"/>
      <w:r w:rsidRPr="00440987">
        <w:t>Pediatric</w:t>
      </w:r>
      <w:proofErr w:type="spellEnd"/>
      <w:r w:rsidRPr="00440987">
        <w:t xml:space="preserve"> Urology, Vol 12, No 6, p. 436-437, </w:t>
      </w:r>
      <w:r>
        <w:br/>
      </w:r>
      <w:hyperlink r:id="rId20" w:history="1">
        <w:r w:rsidRPr="00AD1B1E">
          <w:rPr>
            <w:rStyle w:val="Hyperlink"/>
            <w:sz w:val="16"/>
            <w:szCs w:val="16"/>
          </w:rPr>
          <w:t>https://interactadvocates.org/wp-content/uploads/2016/01/Feder-JPU-Response-July-2016-Still_Ignoring_Human_Rights_in_Intersex.pdf</w:t>
        </w:r>
      </w:hyperlink>
      <w:r w:rsidRPr="00440987">
        <w:t xml:space="preserve"> </w:t>
      </w:r>
    </w:p>
  </w:footnote>
  <w:footnote w:id="30">
    <w:p w:rsidR="00BF46E6" w:rsidRPr="00440987" w:rsidRDefault="00BF46E6" w:rsidP="004958ED">
      <w:pPr>
        <w:pStyle w:val="fussnoteschattenbericht"/>
      </w:pPr>
      <w:r w:rsidRPr="004958ED">
        <w:rPr>
          <w:rStyle w:val="Funotenzeichen"/>
          <w:vertAlign w:val="baseline"/>
        </w:rPr>
        <w:footnoteRef/>
      </w:r>
      <w:r w:rsidRPr="004958ED">
        <w:t xml:space="preserve"> </w:t>
      </w:r>
      <w:r w:rsidRPr="004958ED">
        <w:tab/>
      </w:r>
      <w:r w:rsidRPr="00440987">
        <w:t xml:space="preserve">For more information and references, see 2014 CRC Switzerland NGO Report (INT/CRC/NGO/CHE/18022), </w:t>
      </w:r>
      <w:r w:rsidRPr="00440987">
        <w:br/>
        <w:t>p. 57-58</w:t>
      </w:r>
    </w:p>
  </w:footnote>
  <w:footnote w:id="31">
    <w:p w:rsidR="00BF46E6" w:rsidRPr="007665F2" w:rsidRDefault="00BF46E6" w:rsidP="004958ED">
      <w:pPr>
        <w:pStyle w:val="fussnoteschattenbericht"/>
        <w:rPr>
          <w:lang w:val="en-US"/>
        </w:rPr>
      </w:pPr>
      <w:r w:rsidRPr="0058006E">
        <w:rPr>
          <w:rStyle w:val="Funotenzeichen"/>
          <w:vertAlign w:val="baseline"/>
        </w:rPr>
        <w:footnoteRef/>
      </w:r>
      <w:r w:rsidRPr="0058006E">
        <w:rPr>
          <w:rStyle w:val="Funotenzeichen"/>
          <w:vertAlign w:val="baseline"/>
        </w:rPr>
        <w:t xml:space="preserve"> </w:t>
      </w:r>
      <w:r w:rsidRPr="004F55FC">
        <w:tab/>
      </w:r>
      <w:r>
        <w:t xml:space="preserve">Pakistani doctors in “The Nation”, see </w:t>
      </w:r>
      <w:r>
        <w:br/>
      </w:r>
      <w:hyperlink r:id="rId21" w:history="1">
        <w:r w:rsidRPr="00AD1B1E">
          <w:rPr>
            <w:rStyle w:val="Hyperlink"/>
            <w:sz w:val="19"/>
            <w:szCs w:val="19"/>
          </w:rPr>
          <w:t>https://stopigm.org/Pakistan-Intersex-children-birth-defects-patents-offered-surgery-to-make-them-normal-again/</w:t>
        </w:r>
      </w:hyperlink>
      <w:r>
        <w:t xml:space="preserve"> </w:t>
      </w:r>
      <w:r>
        <w:br/>
        <w:t xml:space="preserve">Original source: </w:t>
      </w:r>
      <w:hyperlink r:id="rId22" w:history="1">
        <w:r w:rsidRPr="001D192C">
          <w:rPr>
            <w:rStyle w:val="Hyperlink"/>
          </w:rPr>
          <w:t>https://www.thenews.com.pk/print/287739-100-infants-with-birth-defects-rehabilitated</w:t>
        </w:r>
      </w:hyperlink>
      <w:r>
        <w:t xml:space="preserve"> </w:t>
      </w:r>
    </w:p>
  </w:footnote>
  <w:footnote w:id="32">
    <w:p w:rsidR="00BF46E6" w:rsidRPr="001D6628" w:rsidRDefault="00BF46E6" w:rsidP="004958ED">
      <w:pPr>
        <w:pStyle w:val="fussnoteschattenbericht"/>
      </w:pPr>
      <w:r w:rsidRPr="0058006E">
        <w:rPr>
          <w:rStyle w:val="Funotenzeichen"/>
          <w:vertAlign w:val="baseline"/>
        </w:rPr>
        <w:footnoteRef/>
      </w:r>
      <w:r w:rsidRPr="0058006E">
        <w:tab/>
      </w:r>
      <w:r w:rsidRPr="001D6628">
        <w:t>For stats and references, see “Selective Intersex Abortions: XXY 74%, Indeterminate Sex 47%, Hypospadias</w:t>
      </w:r>
      <w:r>
        <w:t> </w:t>
      </w:r>
      <w:r w:rsidRPr="001D6628">
        <w:t xml:space="preserve">2%”, </w:t>
      </w:r>
      <w:hyperlink r:id="rId23" w:history="1">
        <w:r w:rsidRPr="00464E75">
          <w:rPr>
            <w:rStyle w:val="Hyperlink"/>
          </w:rPr>
          <w:t>https://stopigm.org/Selective-Intersex-Abortions-Hypospadias-Intersex-XXY/</w:t>
        </w:r>
      </w:hyperlink>
      <w:r>
        <w:t xml:space="preserve"> </w:t>
      </w:r>
    </w:p>
  </w:footnote>
  <w:footnote w:id="33">
    <w:p w:rsidR="00BF46E6" w:rsidRPr="001D6628" w:rsidRDefault="00BF46E6" w:rsidP="004958ED">
      <w:pPr>
        <w:pStyle w:val="fussnoteschattenbericht"/>
      </w:pPr>
      <w:r w:rsidRPr="00010522">
        <w:rPr>
          <w:rStyle w:val="Funotenzeichen"/>
          <w:vertAlign w:val="baseline"/>
        </w:rPr>
        <w:footnoteRef/>
      </w:r>
      <w:r w:rsidRPr="001D6628">
        <w:tab/>
        <w:t xml:space="preserve">For </w:t>
      </w:r>
      <w:proofErr w:type="gramStart"/>
      <w:r w:rsidRPr="001D6628">
        <w:t>example</w:t>
      </w:r>
      <w:proofErr w:type="gramEnd"/>
      <w:r w:rsidRPr="001D6628">
        <w:t xml:space="preserve"> in the UK, see </w:t>
      </w:r>
      <w:hyperlink r:id="rId24" w:history="1">
        <w:r>
          <w:rPr>
            <w:rStyle w:val="Hyperlink"/>
          </w:rPr>
          <w:t>http://guide.hfea.gov.uk/pgd/</w:t>
        </w:r>
      </w:hyperlink>
      <w:r>
        <w:t xml:space="preserve"> </w:t>
      </w:r>
    </w:p>
  </w:footnote>
  <w:footnote w:id="34">
    <w:p w:rsidR="00BF46E6" w:rsidRPr="001D6628" w:rsidRDefault="00BF46E6" w:rsidP="004958ED">
      <w:pPr>
        <w:pStyle w:val="fussnoteschattenbericht"/>
      </w:pPr>
      <w:r w:rsidRPr="00A306C1">
        <w:rPr>
          <w:rStyle w:val="Funotenzeichen"/>
          <w:vertAlign w:val="baseline"/>
        </w:rPr>
        <w:footnoteRef/>
      </w:r>
      <w:r w:rsidRPr="00A306C1">
        <w:tab/>
        <w:t xml:space="preserve">See 2014 CRC Switzerland NGO Report (INT/CRC/NGO/CHE/18022), p. 76, </w:t>
      </w:r>
      <w:r w:rsidRPr="00A306C1">
        <w:br/>
      </w:r>
      <w:hyperlink r:id="rId25" w:history="1">
        <w:r w:rsidRPr="00A306C1">
          <w:rPr>
            <w:rStyle w:val="Hyperlink"/>
          </w:rPr>
          <w:t>http://intersex.shadowreport.org/public/2014-CRC-Swiss-NGO-Zwischengeschlecht-Intersex-IGM_v2.pdf</w:t>
        </w:r>
      </w:hyperlink>
      <w:r w:rsidRPr="001D6628">
        <w:t xml:space="preserve"> </w:t>
      </w:r>
    </w:p>
  </w:footnote>
  <w:footnote w:id="35">
    <w:p w:rsidR="00BF46E6" w:rsidRPr="00440987" w:rsidRDefault="00BF46E6" w:rsidP="000F7E8A">
      <w:pPr>
        <w:pStyle w:val="fussnoteschattenbericht"/>
      </w:pPr>
      <w:r w:rsidRPr="004958ED">
        <w:rPr>
          <w:rStyle w:val="Funotenzeichen"/>
          <w:vertAlign w:val="baseline"/>
        </w:rPr>
        <w:footnoteRef/>
      </w:r>
      <w:r w:rsidRPr="004958ED">
        <w:t xml:space="preserve"> </w:t>
      </w:r>
      <w:r w:rsidRPr="004958ED">
        <w:tab/>
      </w:r>
      <w:hyperlink r:id="rId26" w:history="1">
        <w:r w:rsidRPr="00464E75">
          <w:rPr>
            <w:rStyle w:val="Hyperlink"/>
          </w:rPr>
          <w:t>https://www.iranti.org.za/wp-content/uploads/2019/04/National-Intersex-Dialogue.pdf</w:t>
        </w:r>
      </w:hyperlink>
      <w:r>
        <w:t xml:space="preserve"> </w:t>
      </w:r>
    </w:p>
  </w:footnote>
  <w:footnote w:id="36">
    <w:p w:rsidR="00BF46E6" w:rsidRPr="00440987" w:rsidRDefault="00BF46E6" w:rsidP="000F7E8A">
      <w:pPr>
        <w:pStyle w:val="fussnoteschattenbericht"/>
      </w:pPr>
      <w:r w:rsidRPr="004958ED">
        <w:rPr>
          <w:rStyle w:val="Funotenzeichen"/>
          <w:vertAlign w:val="baseline"/>
        </w:rPr>
        <w:footnoteRef/>
      </w:r>
      <w:r w:rsidRPr="004958ED">
        <w:t xml:space="preserve"> </w:t>
      </w:r>
      <w:r w:rsidRPr="004958ED">
        <w:tab/>
      </w:r>
      <w:hyperlink r:id="rId27" w:anchor=".gl0hbzwrh" w:history="1">
        <w:r w:rsidRPr="00464E75">
          <w:rPr>
            <w:rStyle w:val="Hyperlink"/>
          </w:rPr>
          <w:t>https://medium.com/being-lgbti-in-asia/the-dawn-of-a-national-intersex-movement-the-first-national-intersex-workshop-in-nepal-621e8d7a826e#.gl0hbzwrh</w:t>
        </w:r>
      </w:hyperlink>
      <w:r>
        <w:t xml:space="preserve"> </w:t>
      </w:r>
    </w:p>
  </w:footnote>
  <w:footnote w:id="37">
    <w:p w:rsidR="00BF46E6" w:rsidRPr="00440987" w:rsidRDefault="00BF46E6" w:rsidP="000F7E8A">
      <w:pPr>
        <w:pStyle w:val="fussnoteschattenbericht"/>
      </w:pPr>
      <w:r w:rsidRPr="004958ED">
        <w:rPr>
          <w:rStyle w:val="Funotenzeichen"/>
          <w:vertAlign w:val="baseline"/>
        </w:rPr>
        <w:footnoteRef/>
      </w:r>
      <w:r w:rsidRPr="004958ED">
        <w:t xml:space="preserve"> </w:t>
      </w:r>
      <w:r w:rsidRPr="004958ED">
        <w:tab/>
      </w:r>
      <w:hyperlink r:id="rId28" w:history="1">
        <w:r w:rsidRPr="00464E75">
          <w:rPr>
            <w:rStyle w:val="Hyperlink"/>
          </w:rPr>
          <w:t>https://theguardianpostcameroon.com/post/3038/en/csos-raise-awareness-on-intersexuality-at-yaounde-confab</w:t>
        </w:r>
      </w:hyperlink>
      <w:r>
        <w:t xml:space="preserve"> </w:t>
      </w:r>
    </w:p>
  </w:footnote>
  <w:footnote w:id="38">
    <w:p w:rsidR="00BF46E6" w:rsidRPr="00440987" w:rsidRDefault="00BF46E6" w:rsidP="00DB7549">
      <w:pPr>
        <w:pStyle w:val="fussnoteschattenbericht"/>
      </w:pPr>
      <w:r w:rsidRPr="00DB7549">
        <w:rPr>
          <w:rStyle w:val="Funotenzeichen"/>
          <w:vertAlign w:val="baseline"/>
        </w:rPr>
        <w:footnoteRef/>
      </w:r>
      <w:r w:rsidRPr="00DB7549">
        <w:rPr>
          <w:lang w:val="it-IT"/>
        </w:rPr>
        <w:t xml:space="preserve"> </w:t>
      </w:r>
      <w:r>
        <w:rPr>
          <w:lang w:val="it-IT"/>
        </w:rPr>
        <w:tab/>
      </w:r>
      <w:proofErr w:type="spellStart"/>
      <w:r>
        <w:rPr>
          <w:lang w:val="it-IT"/>
        </w:rPr>
        <w:t>See</w:t>
      </w:r>
      <w:proofErr w:type="spellEnd"/>
      <w:r>
        <w:rPr>
          <w:lang w:val="it-IT"/>
        </w:rPr>
        <w:t xml:space="preserve"> </w:t>
      </w:r>
      <w:proofErr w:type="spellStart"/>
      <w:r>
        <w:rPr>
          <w:lang w:val="it-IT"/>
        </w:rPr>
        <w:t>Annexe</w:t>
      </w:r>
      <w:proofErr w:type="spellEnd"/>
    </w:p>
  </w:footnote>
  <w:footnote w:id="39">
    <w:p w:rsidR="00BF46E6" w:rsidRPr="00440987" w:rsidRDefault="00BF46E6" w:rsidP="00C1098A">
      <w:pPr>
        <w:pStyle w:val="fussnoteschattenbericht"/>
      </w:pPr>
      <w:r w:rsidRPr="00DB7549">
        <w:rPr>
          <w:rStyle w:val="Funotenzeichen"/>
          <w:vertAlign w:val="baseline"/>
        </w:rPr>
        <w:footnoteRef/>
      </w:r>
      <w:r w:rsidRPr="00DB7549">
        <w:rPr>
          <w:lang w:val="it-IT"/>
        </w:rPr>
        <w:t xml:space="preserve"> </w:t>
      </w:r>
      <w:r>
        <w:rPr>
          <w:lang w:val="it-IT"/>
        </w:rPr>
        <w:tab/>
      </w:r>
      <w:proofErr w:type="spellStart"/>
      <w:r>
        <w:rPr>
          <w:lang w:val="it-IT"/>
        </w:rPr>
        <w:t>See</w:t>
      </w:r>
      <w:proofErr w:type="spellEnd"/>
      <w:r>
        <w:rPr>
          <w:lang w:val="it-IT"/>
        </w:rPr>
        <w:t xml:space="preserve"> </w:t>
      </w:r>
      <w:proofErr w:type="spellStart"/>
      <w:r>
        <w:rPr>
          <w:lang w:val="it-IT"/>
        </w:rPr>
        <w:t>Annexe</w:t>
      </w:r>
      <w:proofErr w:type="spellEnd"/>
    </w:p>
  </w:footnote>
  <w:footnote w:id="40">
    <w:p w:rsidR="00BF46E6" w:rsidRPr="00440987" w:rsidRDefault="00BF46E6" w:rsidP="00DB7549">
      <w:pPr>
        <w:pStyle w:val="fussnoteschattenbericht"/>
      </w:pPr>
      <w:r w:rsidRPr="00DB7549">
        <w:rPr>
          <w:rStyle w:val="Funotenzeichen"/>
          <w:vertAlign w:val="baseline"/>
        </w:rPr>
        <w:footnoteRef/>
      </w:r>
      <w:r w:rsidRPr="00DB7549">
        <w:rPr>
          <w:lang w:val="it-IT"/>
        </w:rPr>
        <w:t xml:space="preserve"> </w:t>
      </w:r>
      <w:r>
        <w:rPr>
          <w:lang w:val="it-IT"/>
        </w:rPr>
        <w:tab/>
      </w:r>
      <w:proofErr w:type="spellStart"/>
      <w:r>
        <w:rPr>
          <w:lang w:val="it-IT"/>
        </w:rPr>
        <w:t>See</w:t>
      </w:r>
      <w:proofErr w:type="spellEnd"/>
      <w:r>
        <w:rPr>
          <w:lang w:val="it-IT"/>
        </w:rPr>
        <w:t xml:space="preserve"> </w:t>
      </w:r>
      <w:proofErr w:type="spellStart"/>
      <w:r>
        <w:rPr>
          <w:lang w:val="it-IT"/>
        </w:rPr>
        <w:t>Annexe</w:t>
      </w:r>
      <w:proofErr w:type="spellEnd"/>
    </w:p>
  </w:footnote>
  <w:footnote w:id="41">
    <w:p w:rsidR="00BF46E6" w:rsidRPr="00440987" w:rsidRDefault="00BF46E6" w:rsidP="00DB7549">
      <w:pPr>
        <w:pStyle w:val="fussnoteschattenbericht"/>
      </w:pPr>
      <w:r w:rsidRPr="00DB7549">
        <w:rPr>
          <w:rStyle w:val="Funotenzeichen"/>
          <w:vertAlign w:val="baseline"/>
        </w:rPr>
        <w:footnoteRef/>
      </w:r>
      <w:r w:rsidRPr="00DB7549">
        <w:rPr>
          <w:lang w:val="it-IT"/>
        </w:rPr>
        <w:t xml:space="preserve"> </w:t>
      </w:r>
      <w:r>
        <w:rPr>
          <w:lang w:val="it-IT"/>
        </w:rPr>
        <w:tab/>
      </w:r>
      <w:proofErr w:type="spellStart"/>
      <w:r>
        <w:rPr>
          <w:lang w:val="it-IT"/>
        </w:rPr>
        <w:t>See</w:t>
      </w:r>
      <w:proofErr w:type="spellEnd"/>
      <w:r>
        <w:rPr>
          <w:lang w:val="it-IT"/>
        </w:rPr>
        <w:t xml:space="preserve"> </w:t>
      </w:r>
      <w:proofErr w:type="spellStart"/>
      <w:r>
        <w:rPr>
          <w:lang w:val="it-IT"/>
        </w:rPr>
        <w:t>Annexe</w:t>
      </w:r>
      <w:proofErr w:type="spellEnd"/>
    </w:p>
  </w:footnote>
  <w:footnote w:id="42">
    <w:p w:rsidR="00BF46E6" w:rsidRPr="00440987" w:rsidRDefault="00BF46E6" w:rsidP="001730CA">
      <w:pPr>
        <w:pStyle w:val="fussnoteschattenbericht"/>
      </w:pPr>
      <w:r w:rsidRPr="00DB7549">
        <w:rPr>
          <w:rStyle w:val="Funotenzeichen"/>
          <w:vertAlign w:val="baseline"/>
        </w:rPr>
        <w:footnoteRef/>
      </w:r>
      <w:r w:rsidRPr="00DB7549">
        <w:rPr>
          <w:lang w:val="it-IT"/>
        </w:rPr>
        <w:t xml:space="preserve"> </w:t>
      </w:r>
      <w:r>
        <w:rPr>
          <w:lang w:val="it-IT"/>
        </w:rPr>
        <w:tab/>
      </w:r>
      <w:proofErr w:type="spellStart"/>
      <w:r>
        <w:rPr>
          <w:lang w:val="it-IT"/>
        </w:rPr>
        <w:t>See</w:t>
      </w:r>
      <w:proofErr w:type="spellEnd"/>
      <w:r>
        <w:rPr>
          <w:lang w:val="it-IT"/>
        </w:rPr>
        <w:t xml:space="preserve"> </w:t>
      </w:r>
      <w:proofErr w:type="spellStart"/>
      <w:r>
        <w:rPr>
          <w:lang w:val="it-IT"/>
        </w:rPr>
        <w:t>Annexe</w:t>
      </w:r>
      <w:proofErr w:type="spellEnd"/>
    </w:p>
  </w:footnote>
  <w:footnote w:id="43">
    <w:p w:rsidR="00BF46E6" w:rsidRPr="00440987" w:rsidRDefault="00BF46E6" w:rsidP="00B049A2">
      <w:pPr>
        <w:pStyle w:val="fussnoteschattenbericht"/>
      </w:pPr>
      <w:r w:rsidRPr="00DB7549">
        <w:rPr>
          <w:rStyle w:val="Funotenzeichen"/>
          <w:vertAlign w:val="baseline"/>
        </w:rPr>
        <w:footnoteRef/>
      </w:r>
      <w:r w:rsidRPr="00DB7549">
        <w:rPr>
          <w:lang w:val="it-IT"/>
        </w:rPr>
        <w:t xml:space="preserve"> </w:t>
      </w:r>
      <w:r>
        <w:rPr>
          <w:lang w:val="it-IT"/>
        </w:rPr>
        <w:tab/>
      </w:r>
      <w:r w:rsidRPr="00713CA7">
        <w:rPr>
          <w:lang w:val="it-IT"/>
        </w:rPr>
        <w:t>CEDAW/C/DEU/CO/7-8, CRPD/C/MAR/CO/1, CRC/C/ESP/CO/5-6, CEDAW/C/CHL/CO/7, CEDAW/C/LUX/CO/6-7, CEDAW/C/MEX/CO/9, CEDAW/C/AUS/CO/8, CEDAW/C/NZL/CO/8, CEDAW/C/LIE/CO/5, CEDAW/C/NPL/CO/6, CRC/C/BEL/CO/5-6, CRC/C/AUS/CO/5-6, CRPD/C/AUS/CO/2-3, CRC/C/AUT/CO/5-6, CRPD/C/FRA/CO/1, CRC/C/CHE/CO/5-6, CCPR/C/DEU/CO/7, CRC/C/NLD/CO/5-6, CRPD/C/CHE/CO/1, CRC/C/CAN/CO/5-6, CCPR/C/IRL/CO/5, CRPD/C/NZL/CO/2-3, CRC/C/NZL/CO/6, CRC/C/GBR/CO/6-7, CAT/C/NZL/CO/7, CRPD/C/ISR/CO/1, CAT/C/DNK/CO/8, CAT/C/FIN/CO/8, CRPD/C/BEL/CO/2-3, CRPD/C/NL</w:t>
      </w:r>
      <w:r>
        <w:rPr>
          <w:lang w:val="it-IT"/>
        </w:rPr>
        <w:t>D</w:t>
      </w:r>
      <w:r w:rsidRPr="00713CA7">
        <w:rPr>
          <w:lang w:val="it-IT"/>
        </w:rPr>
        <w:t>/CO/1, CRC/C/ARG/CO/7</w:t>
      </w:r>
      <w:r>
        <w:rPr>
          <w:lang w:val="it-IT"/>
        </w:rPr>
        <w:t xml:space="preserve">, </w:t>
      </w:r>
      <w:r w:rsidRPr="00000CFC">
        <w:rPr>
          <w:lang w:val="it-IT"/>
        </w:rPr>
        <w:t>CAT/C/AUT/CO/7</w:t>
      </w:r>
    </w:p>
  </w:footnote>
  <w:footnote w:id="44">
    <w:p w:rsidR="00BF46E6" w:rsidRPr="00440987" w:rsidRDefault="00BF46E6" w:rsidP="00B049A2">
      <w:pPr>
        <w:pStyle w:val="fussnoteschattenbericht"/>
      </w:pPr>
      <w:r w:rsidRPr="00DB7549">
        <w:rPr>
          <w:rStyle w:val="Funotenzeichen"/>
          <w:vertAlign w:val="baseline"/>
        </w:rPr>
        <w:footnoteRef/>
      </w:r>
      <w:r w:rsidRPr="00DB7549">
        <w:rPr>
          <w:lang w:val="it-IT"/>
        </w:rPr>
        <w:t xml:space="preserve"> </w:t>
      </w:r>
      <w:r>
        <w:rPr>
          <w:lang w:val="it-IT"/>
        </w:rPr>
        <w:tab/>
      </w:r>
      <w:r w:rsidRPr="00713CA7">
        <w:rPr>
          <w:lang w:val="it-IT"/>
        </w:rPr>
        <w:t>CRPD/C/MAR/CO/1, CEDAW/C/CHE/CO/6, CEDAW/C/FIN/CO/8, CRC/C/CAN/CO/5-6</w:t>
      </w:r>
    </w:p>
  </w:footnote>
  <w:footnote w:id="45">
    <w:p w:rsidR="00BF46E6" w:rsidRPr="00440987" w:rsidRDefault="00BF46E6" w:rsidP="006D0B7A">
      <w:pPr>
        <w:pStyle w:val="fussnoteschattenbericht"/>
      </w:pPr>
      <w:r w:rsidRPr="00DB7549">
        <w:rPr>
          <w:rStyle w:val="Funotenzeichen"/>
          <w:vertAlign w:val="baseline"/>
        </w:rPr>
        <w:footnoteRef/>
      </w:r>
      <w:r w:rsidRPr="00DB7549">
        <w:rPr>
          <w:lang w:val="it-IT"/>
        </w:rPr>
        <w:t xml:space="preserve"> </w:t>
      </w:r>
      <w:r>
        <w:rPr>
          <w:lang w:val="it-IT"/>
        </w:rPr>
        <w:tab/>
      </w:r>
      <w:r w:rsidRPr="006D0B7A">
        <w:rPr>
          <w:lang w:val="it-IT"/>
        </w:rPr>
        <w:t>CEDAW/C/DEU/CO/7-8, CRPD/C/GBR/CO/1, CEDAW/C/CHL/CO/7, CRC/C/ZMB/CO/5-7, CRC/C/SWE/CO/6-7, CRC/C/FIN/CO/5-6</w:t>
      </w:r>
    </w:p>
  </w:footnote>
  <w:footnote w:id="46">
    <w:p w:rsidR="00BF46E6" w:rsidRPr="00440987" w:rsidRDefault="00BF46E6" w:rsidP="00B049A2">
      <w:pPr>
        <w:pStyle w:val="fussnoteschattenbericht"/>
      </w:pPr>
      <w:r w:rsidRPr="00DB7549">
        <w:rPr>
          <w:rStyle w:val="Funotenzeichen"/>
          <w:vertAlign w:val="baseline"/>
        </w:rPr>
        <w:footnoteRef/>
      </w:r>
      <w:r w:rsidRPr="00DB7549">
        <w:rPr>
          <w:lang w:val="it-IT"/>
        </w:rPr>
        <w:t xml:space="preserve"> </w:t>
      </w:r>
      <w:r>
        <w:rPr>
          <w:lang w:val="it-IT"/>
        </w:rPr>
        <w:tab/>
      </w:r>
      <w:r w:rsidRPr="00713CA7">
        <w:rPr>
          <w:lang w:val="it-IT"/>
        </w:rPr>
        <w:t>CAT/C/DEU/CO/5, CAT/C/CHE/CO/7, CRC/C/IRL/CO/3-4, CRC/C/NPL/CO/3-5, CRC/C/NZL/CO/5, CEDAW/C/CHE/CO/4-5, CRC/C/DNK/CO/5, CEDAW/C/LUX/CO/6-7, CRC/C/CAN/CO/5-6</w:t>
      </w:r>
    </w:p>
  </w:footnote>
  <w:footnote w:id="47">
    <w:p w:rsidR="00BF46E6" w:rsidRPr="00440987" w:rsidRDefault="00BF46E6" w:rsidP="00B049A2">
      <w:pPr>
        <w:pStyle w:val="fussnoteschattenbericht"/>
      </w:pPr>
      <w:r w:rsidRPr="00DB7549">
        <w:rPr>
          <w:rStyle w:val="Funotenzeichen"/>
          <w:vertAlign w:val="baseline"/>
        </w:rPr>
        <w:footnoteRef/>
      </w:r>
      <w:r w:rsidRPr="00DB7549">
        <w:rPr>
          <w:lang w:val="it-IT"/>
        </w:rPr>
        <w:t xml:space="preserve"> </w:t>
      </w:r>
      <w:r>
        <w:rPr>
          <w:lang w:val="it-IT"/>
        </w:rPr>
        <w:tab/>
      </w:r>
      <w:r w:rsidRPr="006D0B7A">
        <w:rPr>
          <w:lang w:val="it-IT"/>
        </w:rPr>
        <w:t>CAT/C/DEU/CO/5, CAT/C/CHE/CO/7, CRC/C/CHL/CO/4-5, CAT/C/CHN-HKG/CO/4-5, CAT/C/DNK/CO/6-7, CRC/C/IRL/CO/3-4, CAT/C/FRA/CO/7, CRC/C/NPL/CO/3-5, CRC/C/GBR/CO/5, CRC/C/NZL/CO/5, CEDAW/C/CHE/CO/4-5, CRC/C/DNK/CO/5, CEDAW/C/LUX/CO/6-7, CEDAW/C/AUS/CO/8, CEDAW/C/NZL/CO/8, CAT/C/NLD/CO/7, CAT/C/GBR/CO/6, CRC/C/MLT/CO/3-6, CRPD/C/AUS/CO/2-3, CCPR/C/MEX/CO/6, CRC/C/CAN/CO/5-6, CRC/C/CHL/CO/6-7, CRC/C/HRV/CO/5-6, CRC/C/MKD/CO/3-6, CRC/C/NZL/CO/6, CRC/C/GBR/CO/6-7, CAT/C/NZL/CO/7, CRPD/C/ISR/CO/1, CAT/C/CHE/CO/, CRC/C/BGR/CO/6-7, CAT/C/FIN/CO/8, CCPR/C/ISL/CO/6</w:t>
      </w:r>
      <w:r>
        <w:rPr>
          <w:lang w:val="it-IT"/>
        </w:rPr>
        <w:t xml:space="preserve">, </w:t>
      </w:r>
      <w:r w:rsidRPr="000E0A0F">
        <w:rPr>
          <w:lang w:val="it-IT"/>
        </w:rPr>
        <w:t>CAT/C/AUT/CO/7</w:t>
      </w:r>
    </w:p>
  </w:footnote>
  <w:footnote w:id="48">
    <w:p w:rsidR="00BF46E6" w:rsidRPr="00440987" w:rsidRDefault="00BF46E6" w:rsidP="00B049A2">
      <w:pPr>
        <w:pStyle w:val="fussnoteschattenbericht"/>
      </w:pPr>
      <w:r w:rsidRPr="00DB7549">
        <w:rPr>
          <w:rStyle w:val="Funotenzeichen"/>
          <w:vertAlign w:val="baseline"/>
        </w:rPr>
        <w:footnoteRef/>
      </w:r>
      <w:r w:rsidRPr="00DB7549">
        <w:rPr>
          <w:lang w:val="it-IT"/>
        </w:rPr>
        <w:t xml:space="preserve"> </w:t>
      </w:r>
      <w:r>
        <w:rPr>
          <w:lang w:val="it-IT"/>
        </w:rPr>
        <w:tab/>
      </w:r>
      <w:r w:rsidRPr="00F56AC2">
        <w:rPr>
          <w:lang w:val="it-IT"/>
        </w:rPr>
        <w:t>CAT/C/DEU/CO/5, CAT/C/CHE/CO/7, CRC/C/CHL/CO/4-5, CRC/C/IRL/CO/3-4, CAT/C/FRA/CO/7, CRC/C/NPL/CO/3-5, CRC/C/NZL/CO/5, CEDAW/C/DEU/CO/7-8, CCPR/C/CHE/CO/4, CRC/C/DNK/CO/5, CEDAW/C/CHL/CO/7, CEDAW/C/NPL/CO/6, CAT/C/NLD/CO/7, CRC/C/MLT/CO/3-6, CCPR/C/DEU/CO/7, CRC/C/CAN/CO/5-6, CRC/C/CHL/CO/6-7, CRC/C/HRV/CO/5-6, CCPR/C/LUX/CO/4, CRC/C/MKD/CO/3-6, CRC/C/NZL/CO/6, CAT/C/NZL/CO/7, CAT/C/FIN/CO/8</w:t>
      </w:r>
      <w:r>
        <w:rPr>
          <w:lang w:val="it-IT"/>
        </w:rPr>
        <w:t xml:space="preserve">, </w:t>
      </w:r>
      <w:r w:rsidRPr="00AC3959">
        <w:rPr>
          <w:lang w:val="it-IT"/>
        </w:rPr>
        <w:t>CAT/C/AUT/CO/7</w:t>
      </w:r>
    </w:p>
  </w:footnote>
  <w:footnote w:id="49">
    <w:p w:rsidR="00BF46E6" w:rsidRPr="00440987" w:rsidRDefault="00BF46E6" w:rsidP="00B049A2">
      <w:pPr>
        <w:pStyle w:val="fussnoteschattenbericht"/>
      </w:pPr>
      <w:r w:rsidRPr="00DB7549">
        <w:rPr>
          <w:rStyle w:val="Funotenzeichen"/>
          <w:vertAlign w:val="baseline"/>
        </w:rPr>
        <w:footnoteRef/>
      </w:r>
      <w:r w:rsidRPr="00DB7549">
        <w:rPr>
          <w:lang w:val="it-IT"/>
        </w:rPr>
        <w:t xml:space="preserve"> </w:t>
      </w:r>
      <w:r>
        <w:rPr>
          <w:lang w:val="it-IT"/>
        </w:rPr>
        <w:tab/>
      </w:r>
      <w:r w:rsidRPr="00F56AC2">
        <w:rPr>
          <w:lang w:val="it-IT"/>
        </w:rPr>
        <w:t>CRC/C/NPL/CO/3-5, CCPR/C/CHE/CO/4, CRC/C/PRT/CO/5-6, CRC/C/TUN/CO/4-6, CRC/C/CHE/CO/5-6, CRC/C/NLD/CO/5-6, CRC/C/CYP/CO/5-6, CRC/C/GRC/CO/4-6, CRC/C/ISL/CO/5-6, CRC/C/ZMB/CO/5-7, CRC/C/SWE/CO/6-7, CRC/C/FIN/CO/5-6, CRPD/C/ISR/CO/1, CCPR/C/CHL/CO/7</w:t>
      </w:r>
    </w:p>
  </w:footnote>
  <w:footnote w:id="50">
    <w:p w:rsidR="00BF46E6" w:rsidRPr="00440987" w:rsidRDefault="00BF46E6" w:rsidP="00F56AC2">
      <w:pPr>
        <w:pStyle w:val="fussnoteschattenbericht"/>
      </w:pPr>
      <w:r w:rsidRPr="00DB7549">
        <w:rPr>
          <w:rStyle w:val="Funotenzeichen"/>
          <w:vertAlign w:val="baseline"/>
        </w:rPr>
        <w:footnoteRef/>
      </w:r>
      <w:r w:rsidRPr="00DB7549">
        <w:rPr>
          <w:lang w:val="it-IT"/>
        </w:rPr>
        <w:t xml:space="preserve"> </w:t>
      </w:r>
      <w:r>
        <w:rPr>
          <w:lang w:val="it-IT"/>
        </w:rPr>
        <w:tab/>
      </w:r>
      <w:r w:rsidRPr="00F56AC2">
        <w:t xml:space="preserve">CAT/C/GBR/CO/6, </w:t>
      </w:r>
      <w:r w:rsidRPr="00F56AC2">
        <w:rPr>
          <w:lang w:val="de-CH"/>
        </w:rPr>
        <w:t xml:space="preserve">CRC/C/MLT/CO/3-6, </w:t>
      </w:r>
      <w:r w:rsidRPr="00F56AC2">
        <w:rPr>
          <w:lang w:val="fr-CH"/>
        </w:rPr>
        <w:t>CCPR/C/LUX/CO/4, CAT/C/NZL/CO/7, CAT/C/FIN/CO/8</w:t>
      </w:r>
      <w:r>
        <w:rPr>
          <w:lang w:val="fr-CH"/>
        </w:rPr>
        <w:t xml:space="preserve">, </w:t>
      </w:r>
      <w:r w:rsidRPr="00AC3959">
        <w:rPr>
          <w:lang w:val="fr-CH"/>
        </w:rPr>
        <w:t>CAT/C/AUT/CO/7</w:t>
      </w:r>
    </w:p>
  </w:footnote>
  <w:footnote w:id="51">
    <w:p w:rsidR="00BF46E6" w:rsidRPr="00440987" w:rsidRDefault="00BF46E6" w:rsidP="001C427F">
      <w:pPr>
        <w:pStyle w:val="fussnoteschattenbericht"/>
      </w:pPr>
      <w:r w:rsidRPr="00DB7549">
        <w:rPr>
          <w:rStyle w:val="Funotenzeichen"/>
          <w:vertAlign w:val="baseline"/>
        </w:rPr>
        <w:footnoteRef/>
      </w:r>
      <w:r w:rsidRPr="00DB7549">
        <w:rPr>
          <w:lang w:val="it-IT"/>
        </w:rPr>
        <w:t xml:space="preserve"> </w:t>
      </w:r>
      <w:r>
        <w:rPr>
          <w:lang w:val="it-IT"/>
        </w:rPr>
        <w:tab/>
      </w:r>
      <w:r w:rsidRPr="001867BE">
        <w:rPr>
          <w:lang w:val="it-IT"/>
        </w:rPr>
        <w:t>CEDAW/C/DEU/CO/7-8, CRC/C/BEL/CO/5-6, CCPR/C/DEU/CO/7, CRPD/C/CHE/CO/1, CRC/C/SWE/CO/6-7, CRC/C/FIN/CO/5-6, CCPR/C/ISL/CO/6</w:t>
      </w:r>
    </w:p>
  </w:footnote>
  <w:footnote w:id="52">
    <w:p w:rsidR="00BF46E6" w:rsidRPr="00440987" w:rsidRDefault="00BF46E6" w:rsidP="001C427F">
      <w:pPr>
        <w:pStyle w:val="fussnoteschattenbericht"/>
      </w:pPr>
      <w:r w:rsidRPr="00DB7549">
        <w:rPr>
          <w:rStyle w:val="Funotenzeichen"/>
          <w:vertAlign w:val="baseline"/>
        </w:rPr>
        <w:footnoteRef/>
      </w:r>
      <w:r w:rsidRPr="00DB7549">
        <w:rPr>
          <w:lang w:val="it-IT"/>
        </w:rPr>
        <w:t xml:space="preserve"> </w:t>
      </w:r>
      <w:r>
        <w:rPr>
          <w:lang w:val="it-IT"/>
        </w:rPr>
        <w:tab/>
      </w:r>
      <w:r w:rsidRPr="00B2348B">
        <w:rPr>
          <w:lang w:val="it-IT"/>
        </w:rPr>
        <w:t>CAT/C/NLD/CO/7</w:t>
      </w:r>
    </w:p>
  </w:footnote>
  <w:footnote w:id="53">
    <w:p w:rsidR="00BF46E6" w:rsidRPr="00440987" w:rsidRDefault="00BF46E6" w:rsidP="001C427F">
      <w:pPr>
        <w:pStyle w:val="fussnoteschattenbericht"/>
      </w:pPr>
      <w:r w:rsidRPr="00DB7549">
        <w:rPr>
          <w:rStyle w:val="Funotenzeichen"/>
          <w:vertAlign w:val="baseline"/>
        </w:rPr>
        <w:footnoteRef/>
      </w:r>
      <w:r w:rsidRPr="00DB7549">
        <w:rPr>
          <w:lang w:val="it-IT"/>
        </w:rPr>
        <w:t xml:space="preserve"> </w:t>
      </w:r>
      <w:r>
        <w:rPr>
          <w:lang w:val="it-IT"/>
        </w:rPr>
        <w:tab/>
      </w:r>
      <w:r w:rsidRPr="00B2348B">
        <w:rPr>
          <w:lang w:val="it-IT"/>
        </w:rPr>
        <w:t>CRC/C/NZL/CO/5, CRC/C/MLT/CO/3-6, CRC/C/CHL/CO/6-7, CRC/C/HRV/CO/5-6, CRC/C/GBR/CO/6-7, CRC/C/BGR/CO/6-7</w:t>
      </w:r>
    </w:p>
  </w:footnote>
  <w:footnote w:id="54">
    <w:p w:rsidR="00BF46E6" w:rsidRPr="00BD7127" w:rsidRDefault="00BF46E6" w:rsidP="001C427F">
      <w:pPr>
        <w:pStyle w:val="fussnoteschattenbericht"/>
      </w:pPr>
      <w:r w:rsidRPr="00BD7127">
        <w:rPr>
          <w:rStyle w:val="Funotenzeichen"/>
          <w:vertAlign w:val="baseline"/>
        </w:rPr>
        <w:footnoteRef/>
      </w:r>
      <w:r w:rsidRPr="00BD7127">
        <w:rPr>
          <w:lang w:val="it-IT"/>
        </w:rPr>
        <w:t xml:space="preserve"> </w:t>
      </w:r>
      <w:r w:rsidRPr="00BD7127">
        <w:rPr>
          <w:lang w:val="it-IT"/>
        </w:rPr>
        <w:tab/>
        <w:t>CAT/C/CHE/CO/7, CAT/C/FRA/CO/7, CCPR/C/CHE/CO/4, CAT/C/NLD/CO/7, CAT/C/CHE/CO/8</w:t>
      </w:r>
    </w:p>
  </w:footnote>
  <w:footnote w:id="55">
    <w:p w:rsidR="00BF46E6" w:rsidRPr="00BD7127" w:rsidRDefault="00BF46E6" w:rsidP="00B049A2">
      <w:pPr>
        <w:pStyle w:val="fussnoteschattenbericht"/>
      </w:pPr>
      <w:r w:rsidRPr="00BD7127">
        <w:rPr>
          <w:rStyle w:val="Funotenzeichen"/>
          <w:vertAlign w:val="baseline"/>
        </w:rPr>
        <w:footnoteRef/>
      </w:r>
      <w:r w:rsidRPr="00BD7127">
        <w:rPr>
          <w:lang w:val="it-IT"/>
        </w:rPr>
        <w:t xml:space="preserve"> </w:t>
      </w:r>
      <w:r w:rsidRPr="00BD7127">
        <w:rPr>
          <w:lang w:val="it-IT"/>
        </w:rPr>
        <w:tab/>
        <w:t>CRC/C/ZAF/CO/2, CEDAW/C/NPL/CO/6</w:t>
      </w:r>
    </w:p>
  </w:footnote>
  <w:footnote w:id="56">
    <w:p w:rsidR="00BF46E6" w:rsidRPr="00BD7127" w:rsidRDefault="00BF46E6" w:rsidP="00B049A2">
      <w:pPr>
        <w:pStyle w:val="fussnoteschattenbericht"/>
      </w:pPr>
      <w:r w:rsidRPr="00BD7127">
        <w:rPr>
          <w:rStyle w:val="Funotenzeichen"/>
          <w:vertAlign w:val="baseline"/>
        </w:rPr>
        <w:footnoteRef/>
      </w:r>
      <w:r w:rsidRPr="00BD7127">
        <w:rPr>
          <w:lang w:val="it-IT"/>
        </w:rPr>
        <w:t xml:space="preserve"> </w:t>
      </w:r>
      <w:r w:rsidRPr="00BD7127">
        <w:rPr>
          <w:lang w:val="it-IT"/>
        </w:rPr>
        <w:tab/>
        <w:t>CEDAW/C/LIE/CO/5, CEDAW/C/NPL/CO/6</w:t>
      </w:r>
    </w:p>
  </w:footnote>
  <w:footnote w:id="57">
    <w:p w:rsidR="00BF46E6" w:rsidRPr="00BD7127" w:rsidRDefault="00BF46E6" w:rsidP="009C1C6C">
      <w:pPr>
        <w:pStyle w:val="fussnoteschattenbericht"/>
        <w:rPr>
          <w:lang w:val="es-MX"/>
        </w:rPr>
      </w:pPr>
      <w:r w:rsidRPr="00BD7127">
        <w:rPr>
          <w:rStyle w:val="Funotenzeichen"/>
          <w:vertAlign w:val="baseline"/>
        </w:rPr>
        <w:footnoteRef/>
      </w:r>
      <w:r w:rsidRPr="00BD7127">
        <w:rPr>
          <w:lang w:val="es-MX"/>
        </w:rPr>
        <w:t xml:space="preserve"> </w:t>
      </w:r>
      <w:r w:rsidRPr="00BD7127">
        <w:rPr>
          <w:lang w:val="es-MX"/>
        </w:rPr>
        <w:tab/>
        <w:t xml:space="preserve">Gender Identity, Gender Expression and Sex Characteristics Act (GIGESC Act), art. 14. See 2024 CCPR NGO Report (INT/CCPR/CSS/MLT/58663), p. 7-9, </w:t>
      </w:r>
      <w:r w:rsidRPr="00BD7127">
        <w:rPr>
          <w:lang w:val="es-MX"/>
        </w:rPr>
        <w:br/>
      </w:r>
      <w:hyperlink r:id="rId29" w:history="1">
        <w:r w:rsidRPr="00BD7127">
          <w:rPr>
            <w:rStyle w:val="Hyperlink"/>
            <w:lang w:val="es-MX"/>
          </w:rPr>
          <w:t>https://intersex.shadowreport.org/public/2024-CCPR-Malta-NGO-Intersex-StopIGM.pdf</w:t>
        </w:r>
      </w:hyperlink>
      <w:r w:rsidRPr="00BD7127">
        <w:rPr>
          <w:lang w:val="es-MX"/>
        </w:rPr>
        <w:t xml:space="preserve"> </w:t>
      </w:r>
    </w:p>
  </w:footnote>
  <w:footnote w:id="58">
    <w:p w:rsidR="00BF46E6" w:rsidRPr="00BD7127" w:rsidRDefault="00BF46E6" w:rsidP="00B4713E">
      <w:pPr>
        <w:pStyle w:val="fussnoteschattenbericht"/>
        <w:rPr>
          <w:lang w:val="es-MX"/>
        </w:rPr>
      </w:pPr>
      <w:r w:rsidRPr="00BD7127">
        <w:rPr>
          <w:rStyle w:val="Funotenzeichen"/>
          <w:vertAlign w:val="baseline"/>
        </w:rPr>
        <w:footnoteRef/>
      </w:r>
      <w:r w:rsidRPr="00BD7127">
        <w:rPr>
          <w:lang w:val="es-MX"/>
        </w:rPr>
        <w:t xml:space="preserve"> </w:t>
      </w:r>
      <w:r w:rsidRPr="00BD7127">
        <w:rPr>
          <w:lang w:val="es-MX"/>
        </w:rPr>
        <w:tab/>
      </w:r>
      <w:r w:rsidRPr="00BD7127">
        <w:t>Law No. 38/2018, art. 5. See 2020 CCPR NGO Report (INT/CCPR/CSS/PRT/41379), p. 11-14,</w:t>
      </w:r>
      <w:r w:rsidRPr="00BD7127">
        <w:br/>
      </w:r>
      <w:hyperlink r:id="rId30" w:history="1">
        <w:r w:rsidRPr="00BD7127">
          <w:rPr>
            <w:rStyle w:val="Hyperlink"/>
          </w:rPr>
          <w:t>http://intersex.shadowreport.org/public/2020-CCPR-Portugal-NGO-Zwischengeschlecht-Intersex-IGM.pdf</w:t>
        </w:r>
      </w:hyperlink>
      <w:r w:rsidRPr="00BD7127">
        <w:t xml:space="preserve"> </w:t>
      </w:r>
    </w:p>
  </w:footnote>
  <w:footnote w:id="59">
    <w:p w:rsidR="00BF46E6" w:rsidRPr="00BD7127" w:rsidRDefault="00BF46E6" w:rsidP="00101A25">
      <w:pPr>
        <w:pStyle w:val="fussnoteschattenbericht"/>
        <w:rPr>
          <w:lang w:val="es-MX"/>
        </w:rPr>
      </w:pPr>
      <w:r w:rsidRPr="00BD7127">
        <w:rPr>
          <w:rStyle w:val="Funotenzeichen"/>
          <w:vertAlign w:val="baseline"/>
        </w:rPr>
        <w:footnoteRef/>
      </w:r>
      <w:r w:rsidRPr="00BD7127">
        <w:rPr>
          <w:lang w:val="es-MX"/>
        </w:rPr>
        <w:t xml:space="preserve"> </w:t>
      </w:r>
      <w:r w:rsidRPr="00BD7127">
        <w:rPr>
          <w:lang w:val="es-MX"/>
        </w:rPr>
        <w:tab/>
      </w:r>
      <w:r w:rsidRPr="00BD7127">
        <w:rPr>
          <w:lang w:val="de-CH"/>
        </w:rPr>
        <w:t xml:space="preserve">Act </w:t>
      </w:r>
      <w:proofErr w:type="spellStart"/>
      <w:r w:rsidRPr="00BD7127">
        <w:rPr>
          <w:lang w:val="de-CH"/>
        </w:rPr>
        <w:t>No</w:t>
      </w:r>
      <w:proofErr w:type="spellEnd"/>
      <w:r w:rsidRPr="00BD7127">
        <w:rPr>
          <w:lang w:val="de-CH"/>
        </w:rPr>
        <w:t>. 154/2020, art. 11(1)</w:t>
      </w:r>
      <w:r w:rsidRPr="00BD7127">
        <w:t xml:space="preserve">. See 2024 CCPR NGO Report (INT/CCPR/CSS/ISL/59816), p. 12-15, </w:t>
      </w:r>
      <w:r w:rsidRPr="00BD7127">
        <w:br/>
      </w:r>
      <w:hyperlink r:id="rId31" w:history="1">
        <w:r w:rsidRPr="00BD7127">
          <w:rPr>
            <w:rStyle w:val="Hyperlink"/>
          </w:rPr>
          <w:t>https://intersex.shadowreport.org/public/2024-CCPR-Iceland-NGO-Intersex-StopIGM.docx</w:t>
        </w:r>
      </w:hyperlink>
      <w:r w:rsidRPr="00BD7127">
        <w:t xml:space="preserve"> </w:t>
      </w:r>
    </w:p>
  </w:footnote>
  <w:footnote w:id="60">
    <w:p w:rsidR="00BF46E6" w:rsidRPr="00BD7127" w:rsidRDefault="00BF46E6" w:rsidP="00B4713E">
      <w:pPr>
        <w:pStyle w:val="fussnoteschattenbericht"/>
        <w:rPr>
          <w:lang w:val="es-MX"/>
        </w:rPr>
      </w:pPr>
      <w:r w:rsidRPr="00BD7127">
        <w:rPr>
          <w:rStyle w:val="Funotenzeichen"/>
          <w:vertAlign w:val="baseline"/>
        </w:rPr>
        <w:footnoteRef/>
      </w:r>
      <w:r w:rsidRPr="00BD7127">
        <w:rPr>
          <w:lang w:val="es-MX"/>
        </w:rPr>
        <w:t xml:space="preserve"> </w:t>
      </w:r>
      <w:r w:rsidRPr="00BD7127">
        <w:rPr>
          <w:lang w:val="es-MX"/>
        </w:rPr>
        <w:tab/>
      </w:r>
      <w:r w:rsidRPr="00BD7127">
        <w:t xml:space="preserve">§ 1631e in the Civil Law (BGE). See 2023 CRPD NGO Report, p. 13-15, </w:t>
      </w:r>
      <w:hyperlink r:id="rId32" w:history="1">
        <w:r w:rsidRPr="00BD7127">
          <w:rPr>
            <w:rStyle w:val="Hyperlink"/>
          </w:rPr>
          <w:t>https://intersex.shadowreport.org/public/2023-CRPD-Germany-NGO-Intersex-StopIGM.pdf</w:t>
        </w:r>
      </w:hyperlink>
      <w:r w:rsidRPr="00BD7127">
        <w:t xml:space="preserve"> </w:t>
      </w:r>
    </w:p>
  </w:footnote>
  <w:footnote w:id="61">
    <w:p w:rsidR="00BF46E6" w:rsidRPr="00AD7AE3" w:rsidRDefault="00BF46E6" w:rsidP="00A723F3">
      <w:pPr>
        <w:pStyle w:val="fussnoteschattenbericht"/>
        <w:rPr>
          <w:lang w:val="es-MX"/>
        </w:rPr>
      </w:pPr>
      <w:r w:rsidRPr="00BD7127">
        <w:rPr>
          <w:rStyle w:val="Funotenzeichen"/>
          <w:vertAlign w:val="baseline"/>
        </w:rPr>
        <w:footnoteRef/>
      </w:r>
      <w:r w:rsidRPr="00BD7127">
        <w:rPr>
          <w:lang w:val="es-MX"/>
        </w:rPr>
        <w:t xml:space="preserve"> </w:t>
      </w:r>
      <w:r w:rsidRPr="00BD7127">
        <w:rPr>
          <w:lang w:val="es-MX"/>
        </w:rPr>
        <w:tab/>
      </w:r>
      <w:r w:rsidRPr="00BD7127">
        <w:t>In addition, on 06.03.2024 a German Family Court approved non-urgent genital surgery (</w:t>
      </w:r>
      <w:r w:rsidRPr="00BD7127">
        <w:rPr>
          <w:i/>
          <w:iCs/>
        </w:rPr>
        <w:t>“surgical intervention to treat the urogenital sinus”</w:t>
      </w:r>
      <w:r w:rsidRPr="00BD7127">
        <w:t xml:space="preserve"> due to a </w:t>
      </w:r>
      <w:r w:rsidRPr="00BD7127">
        <w:rPr>
          <w:i/>
          <w:iCs/>
        </w:rPr>
        <w:t>“disorder of the separation of the urinary and sexual tracts”</w:t>
      </w:r>
      <w:r w:rsidRPr="00BD7127">
        <w:t xml:space="preserve"> and the creation of a </w:t>
      </w:r>
      <w:r w:rsidRPr="00BD7127">
        <w:rPr>
          <w:i/>
          <w:iCs/>
        </w:rPr>
        <w:t>“normally wide vaginal opening”</w:t>
      </w:r>
      <w:r w:rsidRPr="00BD7127">
        <w:t xml:space="preserve">) on an intersex child born in 2023 based on assertions by IGM doctors the surgery would be </w:t>
      </w:r>
      <w:r w:rsidRPr="00BD7127">
        <w:rPr>
          <w:i/>
          <w:iCs/>
        </w:rPr>
        <w:t>“medically necessary”</w:t>
      </w:r>
      <w:r w:rsidRPr="00BD7127">
        <w:t xml:space="preserve"> due to an </w:t>
      </w:r>
      <w:r w:rsidRPr="00BD7127">
        <w:rPr>
          <w:i/>
          <w:iCs/>
        </w:rPr>
        <w:t xml:space="preserve">“increased risk” </w:t>
      </w:r>
      <w:r w:rsidRPr="00BD7127">
        <w:t xml:space="preserve">of future complications and to allow for </w:t>
      </w:r>
      <w:r w:rsidRPr="00BD7127">
        <w:rPr>
          <w:i/>
          <w:iCs/>
        </w:rPr>
        <w:t xml:space="preserve">“future sexual intercourse” </w:t>
      </w:r>
      <w:r w:rsidRPr="00BD7127">
        <w:t xml:space="preserve">and therefore </w:t>
      </w:r>
      <w:r w:rsidRPr="00BD7127">
        <w:rPr>
          <w:i/>
          <w:iCs/>
        </w:rPr>
        <w:t>“in the best interest of the child”</w:t>
      </w:r>
      <w:r w:rsidRPr="00BD7127">
        <w:t xml:space="preserve">: AG Mannheim, 06.03.2024, decision 8 F 1366/24, </w:t>
      </w:r>
      <w:hyperlink r:id="rId33" w:history="1">
        <w:r w:rsidRPr="00BD7127">
          <w:rPr>
            <w:rStyle w:val="Hyperlink"/>
          </w:rPr>
          <w:t>https://www.landesrecht-bw.de/bsbw/document/NJRE001567840</w:t>
        </w:r>
      </w:hyperlink>
      <w:r w:rsidRPr="00B1149C">
        <w:rPr>
          <w:sz w:val="18"/>
          <w:szCs w:val="18"/>
        </w:rPr>
        <w:t xml:space="preserve"> </w:t>
      </w:r>
      <w:r>
        <w:br/>
        <w:t>See also “</w:t>
      </w:r>
      <w:r w:rsidRPr="008018CB">
        <w:t>OII Germany &amp; OII Europe comment on deeply concerning German Family Court decision authorising an intervention on an intersex minor</w:t>
      </w:r>
      <w:r>
        <w:t xml:space="preserve">”, </w:t>
      </w:r>
      <w:r>
        <w:br/>
      </w:r>
      <w:hyperlink r:id="rId34" w:history="1">
        <w:r w:rsidRPr="00284E7B">
          <w:rPr>
            <w:rStyle w:val="Hyperlink"/>
          </w:rPr>
          <w:t>https://www.oiieurope.org/wp-content/uploads/2024/07/oiide-oiieu-joint-statement_court_EN-12-06-24.pdf</w:t>
        </w:r>
      </w:hyperlink>
      <w:r>
        <w:t xml:space="preserve"> </w:t>
      </w:r>
      <w:r>
        <w:br/>
        <w:t xml:space="preserve">Such medical </w:t>
      </w:r>
      <w:r w:rsidRPr="0091271A">
        <w:rPr>
          <w:b/>
          <w:bCs/>
        </w:rPr>
        <w:t>gaming of Family Courts</w:t>
      </w:r>
      <w:r>
        <w:t xml:space="preserve"> has been long established by Australian IGM doctors, see e.g. IHRA CRC NGO Report 2018, p. 19-30, </w:t>
      </w:r>
      <w:hyperlink r:id="rId35" w:history="1">
        <w:r w:rsidRPr="00284E7B">
          <w:rPr>
            <w:rStyle w:val="Hyperlink"/>
          </w:rPr>
          <w:t>https://interaction.org.au/wp-content/uploads/2018/11/IHRA-2018-CRC.pdf</w:t>
        </w:r>
      </w:hyperlink>
      <w:r>
        <w:t xml:space="preserve">, and proliferated internationally, including repeatedly in Germany, stressing </w:t>
      </w:r>
      <w:r>
        <w:rPr>
          <w:i/>
          <w:iCs/>
        </w:rPr>
        <w:t>“t</w:t>
      </w:r>
      <w:r w:rsidRPr="00AD7AE3">
        <w:rPr>
          <w:i/>
          <w:iCs/>
        </w:rPr>
        <w:t>he courts approved the surgery proposed by the doctors in each case</w:t>
      </w:r>
      <w:r>
        <w:rPr>
          <w:i/>
          <w:iCs/>
        </w:rPr>
        <w:t>”</w:t>
      </w:r>
      <w:r>
        <w:t>, see e.g. Garry L. Warne (2012), “</w:t>
      </w:r>
      <w:proofErr w:type="spellStart"/>
      <w:r>
        <w:t>Fragen</w:t>
      </w:r>
      <w:proofErr w:type="spellEnd"/>
      <w:r>
        <w:t xml:space="preserve"> </w:t>
      </w:r>
      <w:proofErr w:type="spellStart"/>
      <w:r>
        <w:t>im</w:t>
      </w:r>
      <w:proofErr w:type="spellEnd"/>
      <w:r>
        <w:t xml:space="preserve"> </w:t>
      </w:r>
      <w:proofErr w:type="spellStart"/>
      <w:r>
        <w:t>Zusammenhang</w:t>
      </w:r>
      <w:proofErr w:type="spellEnd"/>
      <w:r>
        <w:t xml:space="preserve"> </w:t>
      </w:r>
      <w:proofErr w:type="spellStart"/>
      <w:r>
        <w:t>mit</w:t>
      </w:r>
      <w:proofErr w:type="spellEnd"/>
      <w:r>
        <w:t xml:space="preserve"> der </w:t>
      </w:r>
      <w:proofErr w:type="spellStart"/>
      <w:r>
        <w:t>Behandlung</w:t>
      </w:r>
      <w:proofErr w:type="spellEnd"/>
      <w:r>
        <w:t xml:space="preserve"> von Menschen </w:t>
      </w:r>
      <w:proofErr w:type="spellStart"/>
      <w:r>
        <w:t>mit</w:t>
      </w:r>
      <w:proofErr w:type="spellEnd"/>
      <w:r>
        <w:t xml:space="preserve"> </w:t>
      </w:r>
      <w:proofErr w:type="spellStart"/>
      <w:r>
        <w:t>Störungen</w:t>
      </w:r>
      <w:proofErr w:type="spellEnd"/>
      <w:r>
        <w:t xml:space="preserve"> der </w:t>
      </w:r>
      <w:proofErr w:type="spellStart"/>
      <w:r>
        <w:t>Geschlechtsentwicklung</w:t>
      </w:r>
      <w:proofErr w:type="spellEnd"/>
      <w:r>
        <w:t>”, in: K. Schweizer, H. Richter-</w:t>
      </w:r>
      <w:proofErr w:type="spellStart"/>
      <w:r>
        <w:t>Appelt</w:t>
      </w:r>
      <w:proofErr w:type="spellEnd"/>
      <w:r>
        <w:t xml:space="preserve"> (eds.), “</w:t>
      </w:r>
      <w:proofErr w:type="spellStart"/>
      <w:r>
        <w:t>Intersexualität</w:t>
      </w:r>
      <w:proofErr w:type="spellEnd"/>
      <w:r>
        <w:t xml:space="preserve"> </w:t>
      </w:r>
      <w:proofErr w:type="spellStart"/>
      <w:r>
        <w:t>kontrovers</w:t>
      </w:r>
      <w:proofErr w:type="spellEnd"/>
      <w:r>
        <w:t xml:space="preserve">”, </w:t>
      </w:r>
      <w:proofErr w:type="spellStart"/>
      <w:r>
        <w:t>Psychosozial</w:t>
      </w:r>
      <w:proofErr w:type="spellEnd"/>
      <w:r>
        <w:t>-Verlag 2012, p. 291-310, at 292</w:t>
      </w:r>
    </w:p>
  </w:footnote>
  <w:footnote w:id="62">
    <w:p w:rsidR="00BF46E6" w:rsidRPr="004A6E95" w:rsidRDefault="00BF46E6" w:rsidP="00B4713E">
      <w:pPr>
        <w:pStyle w:val="fussnoteschattenbericht"/>
        <w:rPr>
          <w:lang w:val="es-MX"/>
        </w:rPr>
      </w:pPr>
      <w:r w:rsidRPr="009C1C6C">
        <w:rPr>
          <w:rStyle w:val="Funotenzeichen"/>
          <w:vertAlign w:val="baseline"/>
        </w:rPr>
        <w:footnoteRef/>
      </w:r>
      <w:r w:rsidRPr="009C1C6C">
        <w:rPr>
          <w:lang w:val="es-MX"/>
        </w:rPr>
        <w:t xml:space="preserve"> </w:t>
      </w:r>
      <w:r w:rsidRPr="009C1C6C">
        <w:rPr>
          <w:lang w:val="es-MX"/>
        </w:rPr>
        <w:tab/>
      </w:r>
      <w:r w:rsidRPr="00723F7E">
        <w:t>Law 4958/2022</w:t>
      </w:r>
      <w:r>
        <w:t xml:space="preserve">, art. 17-20. See </w:t>
      </w:r>
      <w:hyperlink r:id="rId36" w:history="1">
        <w:r w:rsidRPr="00464E75">
          <w:rPr>
            <w:rStyle w:val="Hyperlink"/>
          </w:rPr>
          <w:t>https://intersexgreece.org.gr/en/2022/07/25/3449/</w:t>
        </w:r>
      </w:hyperlink>
      <w:r>
        <w:t xml:space="preserve"> </w:t>
      </w:r>
    </w:p>
  </w:footnote>
  <w:footnote w:id="63">
    <w:p w:rsidR="00BF46E6" w:rsidRPr="004A6E95" w:rsidRDefault="00BF46E6" w:rsidP="00B4713E">
      <w:pPr>
        <w:pStyle w:val="fussnoteschattenbericht"/>
        <w:rPr>
          <w:lang w:val="es-MX"/>
        </w:rPr>
      </w:pPr>
      <w:r w:rsidRPr="00BD7127">
        <w:rPr>
          <w:rStyle w:val="Funotenzeichen"/>
          <w:vertAlign w:val="baseline"/>
        </w:rPr>
        <w:footnoteRef/>
      </w:r>
      <w:r w:rsidRPr="00BD7127">
        <w:rPr>
          <w:lang w:val="es-MX"/>
        </w:rPr>
        <w:t xml:space="preserve"> </w:t>
      </w:r>
      <w:r w:rsidRPr="00BD7127">
        <w:rPr>
          <w:lang w:val="es-MX"/>
        </w:rPr>
        <w:tab/>
      </w:r>
      <w:r w:rsidRPr="00BD7127">
        <w:t>Organic Law 4/2023, art. 19. See 2024 CRC Spain NGO Report (INT/CRC/NGO/ESP/59350), p. 6-8,</w:t>
      </w:r>
      <w:r w:rsidRPr="00BD7127">
        <w:br/>
      </w:r>
      <w:hyperlink r:id="rId37" w:history="1">
        <w:r w:rsidRPr="00BD7127">
          <w:rPr>
            <w:rStyle w:val="Hyperlink"/>
          </w:rPr>
          <w:t>https://intersex.shadowreport.org/public/2024-CRC-Spain-NGO-Intersex-StopIGM.docx</w:t>
        </w:r>
      </w:hyperlink>
      <w:r>
        <w:t xml:space="preserve"> </w:t>
      </w:r>
    </w:p>
  </w:footnote>
  <w:footnote w:id="64">
    <w:p w:rsidR="00BF46E6" w:rsidRPr="00440987" w:rsidRDefault="00BF46E6" w:rsidP="00667753">
      <w:pPr>
        <w:pStyle w:val="fussnoteschattenbericht"/>
      </w:pPr>
      <w:r w:rsidRPr="00DB7549">
        <w:rPr>
          <w:rStyle w:val="Funotenzeichen"/>
          <w:vertAlign w:val="baseline"/>
        </w:rPr>
        <w:footnoteRef/>
      </w:r>
      <w:r w:rsidRPr="00DB7549">
        <w:rPr>
          <w:lang w:val="it-IT"/>
        </w:rPr>
        <w:t xml:space="preserve"> </w:t>
      </w:r>
      <w:r>
        <w:rPr>
          <w:lang w:val="it-IT"/>
        </w:rPr>
        <w:tab/>
      </w:r>
      <w:r w:rsidRPr="000E688A">
        <w:rPr>
          <w:lang w:val="it-IT"/>
        </w:rPr>
        <w:t>CRC/C/PRT/CO/5-6, CCPR/C/PRT/CO/5, CCPR/C/DEU/CO/7, CRPD/C/DEU/CO/2-3, CCPR/C/ISL/CO/6</w:t>
      </w:r>
    </w:p>
  </w:footnote>
  <w:footnote w:id="65">
    <w:p w:rsidR="00BF46E6" w:rsidRPr="00440987" w:rsidRDefault="00BF46E6" w:rsidP="00A6366E">
      <w:pPr>
        <w:pStyle w:val="fussnoteschattenbericht"/>
      </w:pPr>
      <w:r w:rsidRPr="00DB7549">
        <w:rPr>
          <w:rStyle w:val="Funotenzeichen"/>
          <w:vertAlign w:val="baseline"/>
        </w:rPr>
        <w:footnoteRef/>
      </w:r>
      <w:r w:rsidRPr="00DB7549">
        <w:rPr>
          <w:lang w:val="it-IT"/>
        </w:rPr>
        <w:t xml:space="preserve"> </w:t>
      </w:r>
      <w:r>
        <w:rPr>
          <w:lang w:val="it-IT"/>
        </w:rPr>
        <w:tab/>
      </w:r>
      <w:r w:rsidRPr="00A6366E">
        <w:rPr>
          <w:lang w:val="it-IT"/>
        </w:rPr>
        <w:t>CRC/C/ISL/CO/5-6, CRC/C/DEU/CO/5-6</w:t>
      </w:r>
    </w:p>
  </w:footnote>
  <w:footnote w:id="66">
    <w:p w:rsidR="00BF46E6" w:rsidRPr="00440987" w:rsidRDefault="00BF46E6" w:rsidP="00450AE3">
      <w:pPr>
        <w:pStyle w:val="fussnoteschattenbericht"/>
      </w:pPr>
      <w:r w:rsidRPr="00DB7549">
        <w:rPr>
          <w:rStyle w:val="Funotenzeichen"/>
          <w:vertAlign w:val="baseline"/>
        </w:rPr>
        <w:footnoteRef/>
      </w:r>
      <w:r w:rsidRPr="00DB7549">
        <w:rPr>
          <w:lang w:val="it-IT"/>
        </w:rPr>
        <w:t xml:space="preserve"> </w:t>
      </w:r>
      <w:r>
        <w:rPr>
          <w:lang w:val="it-IT"/>
        </w:rPr>
        <w:tab/>
      </w:r>
      <w:r w:rsidRPr="00CB6C06">
        <w:rPr>
          <w:lang w:val="it-IT"/>
        </w:rPr>
        <w:t>CRC/C/MLT/CO/3-6, CRC/C/GRC/CO/4-6</w:t>
      </w:r>
    </w:p>
  </w:footnote>
  <w:footnote w:id="67">
    <w:p w:rsidR="00AD01C0" w:rsidRPr="00286D52" w:rsidRDefault="00AD01C0" w:rsidP="00AD01C0">
      <w:pPr>
        <w:pStyle w:val="fussnoteschattenbericht"/>
      </w:pPr>
      <w:r w:rsidRPr="00DE2FB6">
        <w:rPr>
          <w:rStyle w:val="Funotenzeichen3"/>
          <w:kern w:val="20"/>
          <w:vertAlign w:val="baseline"/>
        </w:rPr>
        <w:footnoteRef/>
      </w:r>
      <w:r w:rsidRPr="00286D52">
        <w:tab/>
      </w:r>
      <w:r>
        <w:t xml:space="preserve">See 2024 CAT Finland NGO Report (INT/CAT/NGO/FIN/57888), p. 26-27, </w:t>
      </w:r>
      <w:hyperlink r:id="rId38" w:history="1">
        <w:r w:rsidRPr="00426A15">
          <w:rPr>
            <w:rStyle w:val="Hyperlink"/>
          </w:rPr>
          <w:t>https://intersex.shadowreport.org/public/2024-CAT-Finland-NGO-Intersex-StopIGM.pdf</w:t>
        </w:r>
      </w:hyperlink>
      <w:r>
        <w:t xml:space="preserve"> </w:t>
      </w:r>
    </w:p>
  </w:footnote>
  <w:footnote w:id="68">
    <w:p w:rsidR="003B0145" w:rsidRPr="00286D52" w:rsidRDefault="003B0145" w:rsidP="003B0145">
      <w:pPr>
        <w:pStyle w:val="fussnoteschattenbericht"/>
      </w:pPr>
      <w:r w:rsidRPr="00DE2FB6">
        <w:rPr>
          <w:rStyle w:val="Funotenzeichen3"/>
          <w:kern w:val="20"/>
          <w:vertAlign w:val="baseline"/>
        </w:rPr>
        <w:footnoteRef/>
      </w:r>
      <w:r w:rsidRPr="00DE2FB6">
        <w:rPr>
          <w:rStyle w:val="Funotenzeichen3"/>
          <w:kern w:val="20"/>
          <w:vertAlign w:val="baseline"/>
        </w:rPr>
        <w:tab/>
      </w:r>
      <w:r w:rsidRPr="00286D52">
        <w:t xml:space="preserve">For example Amnesty (2017), see </w:t>
      </w:r>
      <w:hyperlink r:id="rId39" w:history="1">
        <w:r w:rsidRPr="005C78E9">
          <w:rPr>
            <w:rStyle w:val="Hyperlink"/>
            <w:rFonts w:cs="Baskerville"/>
            <w:sz w:val="18"/>
            <w:szCs w:val="18"/>
          </w:rPr>
          <w:t>https://stopigm.org/post/Amnesty-Report-fails-Intersex-Children-and-IGM-Survivors</w:t>
        </w:r>
      </w:hyperlink>
      <w:r w:rsidRPr="00286D52">
        <w:rPr>
          <w:rStyle w:val="WW8Num1z3"/>
          <w:rFonts w:cs="Baskerville"/>
        </w:rPr>
        <w:t xml:space="preserve"> </w:t>
      </w:r>
    </w:p>
  </w:footnote>
  <w:footnote w:id="69">
    <w:p w:rsidR="003B0145" w:rsidRPr="00286D52" w:rsidRDefault="003B0145" w:rsidP="003B0145">
      <w:pPr>
        <w:pStyle w:val="fussnoteschattenbericht"/>
      </w:pPr>
      <w:r w:rsidRPr="00DE2FB6">
        <w:rPr>
          <w:rStyle w:val="Funotenzeichen3"/>
          <w:kern w:val="20"/>
          <w:vertAlign w:val="baseline"/>
        </w:rPr>
        <w:footnoteRef/>
      </w:r>
      <w:r w:rsidRPr="00DE2FB6">
        <w:rPr>
          <w:rStyle w:val="Funotenzeichen3"/>
          <w:kern w:val="20"/>
          <w:vertAlign w:val="baseline"/>
        </w:rPr>
        <w:tab/>
      </w:r>
      <w:r w:rsidRPr="00286D52">
        <w:t xml:space="preserve">For example FRA (2015), see Presentation OHCHR Expert Meeting (2015), slide 8, </w:t>
      </w:r>
      <w:hyperlink r:id="rId40" w:history="1">
        <w:r>
          <w:rPr>
            <w:rStyle w:val="Hyperlink"/>
            <w:rFonts w:cs="Baskerville"/>
          </w:rPr>
          <w:t>https://stopigm.org/public/S3_Zwischengeschlecht_UN-Expert-Meeting-2015_web.pdf</w:t>
        </w:r>
      </w:hyperlink>
      <w:r w:rsidRPr="00286D52">
        <w:rPr>
          <w:rStyle w:val="WW8Num1z3"/>
          <w:rFonts w:cs="Baskerville"/>
        </w:rPr>
        <w:t xml:space="preserve"> </w:t>
      </w:r>
    </w:p>
  </w:footnote>
  <w:footnote w:id="70">
    <w:p w:rsidR="003B0145" w:rsidRPr="00286D52" w:rsidRDefault="003B0145" w:rsidP="003B0145">
      <w:pPr>
        <w:pStyle w:val="fussnoteschattenbericht"/>
      </w:pPr>
      <w:r w:rsidRPr="00DE2FB6">
        <w:rPr>
          <w:rStyle w:val="Funotenzeichen3"/>
          <w:kern w:val="20"/>
          <w:vertAlign w:val="baseline"/>
        </w:rPr>
        <w:footnoteRef/>
      </w:r>
      <w:r w:rsidRPr="00286D52">
        <w:tab/>
        <w:t>For example CEDAW</w:t>
      </w:r>
      <w:r w:rsidRPr="00286D52">
        <w:rPr>
          <w:b/>
        </w:rPr>
        <w:t xml:space="preserve"> </w:t>
      </w:r>
      <w:r w:rsidRPr="00286D52">
        <w:t xml:space="preserve">Italy (2017), see </w:t>
      </w:r>
      <w:hyperlink r:id="rId41" w:history="1">
        <w:r w:rsidRPr="003C22A3">
          <w:rPr>
            <w:rStyle w:val="Hyperlink"/>
            <w:rFonts w:cs="Baskerville"/>
            <w:kern w:val="20"/>
            <w:sz w:val="18"/>
            <w:szCs w:val="18"/>
          </w:rPr>
          <w:t>https://stopigm.org/post/Major-Setback-for-Intersex-Human-Rights-at-the-UN</w:t>
        </w:r>
      </w:hyperlink>
      <w:r>
        <w:rPr>
          <w:rFonts w:cs="Baskerville"/>
          <w:kern w:val="20"/>
          <w:sz w:val="18"/>
          <w:szCs w:val="18"/>
        </w:rPr>
        <w:t xml:space="preserve"> </w:t>
      </w:r>
    </w:p>
  </w:footnote>
  <w:footnote w:id="71">
    <w:p w:rsidR="007F045F" w:rsidRPr="00286D52" w:rsidRDefault="007F045F" w:rsidP="007F045F">
      <w:pPr>
        <w:pStyle w:val="fussnoteschattenbericht"/>
      </w:pPr>
      <w:r w:rsidRPr="00DE2FB6">
        <w:rPr>
          <w:rStyle w:val="Funotenzeichen3"/>
          <w:kern w:val="20"/>
          <w:vertAlign w:val="baseline"/>
        </w:rPr>
        <w:footnoteRef/>
      </w:r>
      <w:r w:rsidRPr="00DE2FB6">
        <w:rPr>
          <w:rStyle w:val="Funotenzeichen3"/>
          <w:kern w:val="20"/>
          <w:vertAlign w:val="baseline"/>
        </w:rPr>
        <w:tab/>
      </w:r>
      <w:r w:rsidRPr="00286D52">
        <w:t>For example Ministry of Health Chile (2016), see</w:t>
      </w:r>
      <w:r w:rsidR="0073327D">
        <w:t xml:space="preserve"> </w:t>
      </w:r>
      <w:hyperlink r:id="rId42" w:history="1">
        <w:r w:rsidR="0073327D" w:rsidRPr="0073327D">
          <w:rPr>
            <w:rStyle w:val="Hyperlink"/>
            <w:sz w:val="15"/>
            <w:szCs w:val="15"/>
          </w:rPr>
          <w:t>https://stopigm.org/post/Circular-7-step-back-for-intersex-human-rights-in-Chile</w:t>
        </w:r>
      </w:hyperlink>
      <w:r w:rsidR="0073327D" w:rsidRPr="0073327D">
        <w:rPr>
          <w:sz w:val="15"/>
          <w:szCs w:val="15"/>
        </w:rPr>
        <w:t xml:space="preserve"> </w:t>
      </w:r>
    </w:p>
  </w:footnote>
  <w:footnote w:id="72">
    <w:p w:rsidR="007F045F" w:rsidRPr="00AD7AE3" w:rsidRDefault="007F045F" w:rsidP="007F045F">
      <w:pPr>
        <w:pStyle w:val="fussnoteschattenbericht"/>
        <w:rPr>
          <w:lang w:val="es-MX"/>
        </w:rPr>
      </w:pPr>
      <w:r w:rsidRPr="00BD7127">
        <w:rPr>
          <w:rStyle w:val="Funotenzeichen"/>
          <w:vertAlign w:val="baseline"/>
        </w:rPr>
        <w:footnoteRef/>
      </w:r>
      <w:r w:rsidRPr="00BD7127">
        <w:rPr>
          <w:lang w:val="es-MX"/>
        </w:rPr>
        <w:t xml:space="preserve"> </w:t>
      </w:r>
      <w:r w:rsidRPr="00BD7127">
        <w:rPr>
          <w:lang w:val="es-MX"/>
        </w:rPr>
        <w:tab/>
      </w:r>
      <w:r>
        <w:t xml:space="preserve">For </w:t>
      </w:r>
      <w:proofErr w:type="gramStart"/>
      <w:r>
        <w:t>example</w:t>
      </w:r>
      <w:proofErr w:type="gramEnd"/>
      <w:r>
        <w:t xml:space="preserve"> in Germany and Australia, see above footnote 61</w:t>
      </w:r>
    </w:p>
  </w:footnote>
  <w:footnote w:id="73">
    <w:p w:rsidR="00A83281" w:rsidRPr="00AD7AE3" w:rsidRDefault="00A83281" w:rsidP="00A83281">
      <w:pPr>
        <w:pStyle w:val="fussnoteschattenbericht"/>
        <w:rPr>
          <w:lang w:val="es-MX"/>
        </w:rPr>
      </w:pPr>
      <w:r w:rsidRPr="00BD7127">
        <w:rPr>
          <w:rStyle w:val="Funotenzeichen"/>
          <w:vertAlign w:val="baseline"/>
        </w:rPr>
        <w:footnoteRef/>
      </w:r>
      <w:r w:rsidRPr="00BD7127">
        <w:rPr>
          <w:lang w:val="es-MX"/>
        </w:rPr>
        <w:t xml:space="preserve"> </w:t>
      </w:r>
      <w:r w:rsidRPr="00BD7127">
        <w:rPr>
          <w:lang w:val="es-MX"/>
        </w:rPr>
        <w:tab/>
      </w:r>
      <w:r>
        <w:t xml:space="preserve">For </w:t>
      </w:r>
      <w:proofErr w:type="gramStart"/>
      <w:r>
        <w:t>example</w:t>
      </w:r>
      <w:proofErr w:type="gramEnd"/>
      <w:r>
        <w:t xml:space="preserve"> in </w:t>
      </w:r>
      <w:r w:rsidR="00740DED">
        <w:t>Portugal, Iceland, and Spain</w:t>
      </w:r>
      <w:r>
        <w:t>, see above footnote</w:t>
      </w:r>
      <w:r w:rsidR="00740DED">
        <w:t>s 58, 59, 61, and 62</w:t>
      </w:r>
    </w:p>
  </w:footnote>
  <w:footnote w:id="74">
    <w:p w:rsidR="00740DED" w:rsidRPr="00AD7AE3" w:rsidRDefault="00740DED" w:rsidP="00740DED">
      <w:pPr>
        <w:pStyle w:val="fussnoteschattenbericht"/>
        <w:rPr>
          <w:lang w:val="es-MX"/>
        </w:rPr>
      </w:pPr>
      <w:r w:rsidRPr="00BD7127">
        <w:rPr>
          <w:rStyle w:val="Funotenzeichen"/>
          <w:vertAlign w:val="baseline"/>
        </w:rPr>
        <w:footnoteRef/>
      </w:r>
      <w:r w:rsidRPr="00BD7127">
        <w:rPr>
          <w:lang w:val="es-MX"/>
        </w:rPr>
        <w:t xml:space="preserve"> </w:t>
      </w:r>
      <w:r w:rsidRPr="00BD7127">
        <w:rPr>
          <w:lang w:val="es-MX"/>
        </w:rPr>
        <w:tab/>
      </w:r>
      <w:r>
        <w:t>Malta and Greece</w:t>
      </w:r>
      <w:r>
        <w:t>, see above footnote</w:t>
      </w:r>
      <w:r>
        <w:t>s</w:t>
      </w:r>
      <w:r>
        <w:t xml:space="preserve"> </w:t>
      </w:r>
      <w:r>
        <w:t>57 and 62</w:t>
      </w:r>
    </w:p>
  </w:footnote>
  <w:footnote w:id="75">
    <w:p w:rsidR="00427751" w:rsidRPr="00286D52" w:rsidRDefault="00427751" w:rsidP="00427751">
      <w:pPr>
        <w:pStyle w:val="fussnoteschattenbericht"/>
      </w:pPr>
      <w:r w:rsidRPr="00DE2FB6">
        <w:rPr>
          <w:rStyle w:val="Funotenzeichen3"/>
          <w:kern w:val="20"/>
          <w:vertAlign w:val="baseline"/>
        </w:rPr>
        <w:footnoteRef/>
      </w:r>
      <w:r w:rsidRPr="00286D52">
        <w:tab/>
        <w:t>For example Ministry of Health Chile (2016), see</w:t>
      </w:r>
      <w:r w:rsidRPr="00286D52">
        <w:br/>
      </w:r>
      <w:hyperlink r:id="rId43" w:history="1">
        <w:r>
          <w:rPr>
            <w:rStyle w:val="Hyperlink"/>
            <w:rFonts w:cs="Baskerville"/>
          </w:rPr>
          <w:t>https://stopigm.org/post/Circular-7-step-back-for-intersex-human-rights-in-Chile</w:t>
        </w:r>
      </w:hyperlink>
      <w:r w:rsidRPr="00286D52">
        <w:rPr>
          <w:rStyle w:val="WW8Num1z3"/>
          <w:rFonts w:cs="Baskerville"/>
        </w:rPr>
        <w:t xml:space="preserve"> </w:t>
      </w:r>
    </w:p>
  </w:footnote>
  <w:footnote w:id="76">
    <w:p w:rsidR="00427751" w:rsidRPr="00286D52" w:rsidRDefault="00427751" w:rsidP="00427751">
      <w:pPr>
        <w:pStyle w:val="fussnoteschattenbericht"/>
      </w:pPr>
      <w:r w:rsidRPr="00DE2FB6">
        <w:rPr>
          <w:rStyle w:val="Funotenzeichen3"/>
          <w:kern w:val="20"/>
          <w:vertAlign w:val="baseline"/>
        </w:rPr>
        <w:footnoteRef/>
      </w:r>
      <w:r w:rsidRPr="00286D52">
        <w:rPr>
          <w:rStyle w:val="Funotenzeichen3"/>
          <w:kern w:val="20"/>
        </w:rPr>
        <w:tab/>
      </w:r>
      <w:r w:rsidRPr="00286D52">
        <w:t xml:space="preserve">For example Ministry of Health </w:t>
      </w:r>
      <w:r>
        <w:t>France</w:t>
      </w:r>
      <w:r w:rsidRPr="00286D52">
        <w:t xml:space="preserve"> (201</w:t>
      </w:r>
      <w:r>
        <w:t>8</w:t>
      </w:r>
      <w:r w:rsidRPr="00286D52">
        <w:t>), see 20</w:t>
      </w:r>
      <w:r>
        <w:t>20</w:t>
      </w:r>
      <w:r w:rsidRPr="00286D52">
        <w:t xml:space="preserve"> CRC Intersex NGO Report (for </w:t>
      </w:r>
      <w:r>
        <w:t>LOIPR</w:t>
      </w:r>
      <w:r w:rsidRPr="00286D52">
        <w:t xml:space="preserve">), p. </w:t>
      </w:r>
      <w:r>
        <w:t>19</w:t>
      </w:r>
      <w:r w:rsidRPr="00286D52">
        <w:t>,</w:t>
      </w:r>
      <w:r w:rsidRPr="00286D52">
        <w:br/>
      </w:r>
      <w:hyperlink r:id="rId44" w:history="1">
        <w:r w:rsidRPr="001465D7">
          <w:rPr>
            <w:rStyle w:val="Hyperlink"/>
          </w:rPr>
          <w:t>http</w:t>
        </w:r>
        <w:r>
          <w:rPr>
            <w:rStyle w:val="Hyperlink"/>
          </w:rPr>
          <w:t>s</w:t>
        </w:r>
        <w:r w:rsidRPr="001465D7">
          <w:rPr>
            <w:rStyle w:val="Hyperlink"/>
          </w:rPr>
          <w:t>://intersex.shadowreport.org/public/2020-CRC-France-LOIPR-NGO-Intersex-IGM.pdf</w:t>
        </w:r>
      </w:hyperlink>
      <w:r>
        <w:t xml:space="preserve"> </w:t>
      </w:r>
    </w:p>
  </w:footnote>
  <w:footnote w:id="77">
    <w:p w:rsidR="00427751" w:rsidRPr="00286D52" w:rsidRDefault="00427751" w:rsidP="00427751">
      <w:pPr>
        <w:pStyle w:val="fussnoteschattenbericht"/>
      </w:pPr>
      <w:r w:rsidRPr="00DE2FB6">
        <w:rPr>
          <w:rStyle w:val="Funotenzeichen3"/>
          <w:kern w:val="20"/>
          <w:vertAlign w:val="baseline"/>
        </w:rPr>
        <w:footnoteRef/>
      </w:r>
      <w:r w:rsidRPr="00DE2FB6">
        <w:rPr>
          <w:rStyle w:val="Funotenzeichen3"/>
          <w:kern w:val="20"/>
          <w:vertAlign w:val="baseline"/>
        </w:rPr>
        <w:tab/>
      </w:r>
      <w:r w:rsidRPr="00286D52">
        <w:t>For example Ministry of Health Austria (2019), see 2019 CRC Intersex NGO Report (for Session), p. 4-5,</w:t>
      </w:r>
      <w:r w:rsidRPr="00286D52">
        <w:br/>
      </w:r>
      <w:hyperlink r:id="rId45" w:history="1">
        <w:r w:rsidRPr="003C22A3">
          <w:rPr>
            <w:rStyle w:val="Hyperlink"/>
          </w:rPr>
          <w:t>https://intersex.shadowreport.org/public/2019-CRC-Austria-NGO-Zwischengeschlecht-Intersex-IGM.pdf</w:t>
        </w:r>
      </w:hyperlink>
      <w:r w:rsidRPr="00286D52">
        <w:t xml:space="preserve"> </w:t>
      </w:r>
    </w:p>
  </w:footnote>
  <w:footnote w:id="78">
    <w:p w:rsidR="00AE5854" w:rsidRPr="00C20D9B" w:rsidRDefault="00AE5854" w:rsidP="00AE5854">
      <w:pPr>
        <w:pStyle w:val="fussnoteschattenbericht"/>
        <w:rPr>
          <w:lang w:val="de-CH"/>
        </w:rPr>
      </w:pPr>
      <w:r w:rsidRPr="00BB7681">
        <w:rPr>
          <w:rStyle w:val="Funotenzeichen3"/>
          <w:kern w:val="20"/>
          <w:vertAlign w:val="baseline"/>
        </w:rPr>
        <w:footnoteRef/>
      </w:r>
      <w:r w:rsidRPr="00BB7681">
        <w:rPr>
          <w:rStyle w:val="Funotenzeichen3"/>
          <w:kern w:val="20"/>
          <w:vertAlign w:val="baseline"/>
          <w:lang w:val="de-CH"/>
        </w:rPr>
        <w:t xml:space="preserve"> </w:t>
      </w:r>
      <w:r w:rsidRPr="00C20D9B">
        <w:rPr>
          <w:lang w:val="de-CH"/>
        </w:rPr>
        <w:tab/>
        <w:t xml:space="preserve">CRC67 </w:t>
      </w:r>
      <w:proofErr w:type="spellStart"/>
      <w:r w:rsidRPr="00C20D9B">
        <w:rPr>
          <w:lang w:val="de-CH"/>
        </w:rPr>
        <w:t>Denmark</w:t>
      </w:r>
      <w:proofErr w:type="spellEnd"/>
      <w:r w:rsidRPr="00C20D9B">
        <w:rPr>
          <w:lang w:val="de-CH"/>
        </w:rPr>
        <w:t xml:space="preserve">, </w:t>
      </w:r>
      <w:hyperlink r:id="rId46" w:history="1">
        <w:r w:rsidRPr="00AF408C">
          <w:rPr>
            <w:rStyle w:val="Hyperlink"/>
            <w:w w:val="85"/>
            <w:kern w:val="20"/>
            <w:sz w:val="19"/>
            <w:szCs w:val="19"/>
            <w:lang w:val="de-CH"/>
          </w:rPr>
          <w:t>https://stopigm.org/post/CRC67-Intersex-children-used-as-cannon-fodder-LGBT-Denmark</w:t>
        </w:r>
      </w:hyperlink>
      <w:r w:rsidRPr="00C20D9B">
        <w:rPr>
          <w:lang w:val="de-CH"/>
        </w:rPr>
        <w:t xml:space="preserve"> </w:t>
      </w:r>
    </w:p>
  </w:footnote>
  <w:footnote w:id="79">
    <w:p w:rsidR="00AE5854" w:rsidRPr="00286D52" w:rsidRDefault="00AE5854" w:rsidP="00AE5854">
      <w:pPr>
        <w:pStyle w:val="fussnoteschattenbericht"/>
      </w:pPr>
      <w:r w:rsidRPr="00BB7681">
        <w:rPr>
          <w:rStyle w:val="Funotenzeichen3"/>
          <w:kern w:val="20"/>
          <w:vertAlign w:val="baseline"/>
        </w:rPr>
        <w:footnoteRef/>
      </w:r>
      <w:r w:rsidRPr="00BB7681">
        <w:rPr>
          <w:rStyle w:val="Funotenzeichen3"/>
          <w:kern w:val="20"/>
          <w:vertAlign w:val="baseline"/>
        </w:rPr>
        <w:t xml:space="preserve"> </w:t>
      </w:r>
      <w:r w:rsidRPr="00BB7681">
        <w:rPr>
          <w:rStyle w:val="Funotenzeichen3"/>
          <w:kern w:val="20"/>
          <w:vertAlign w:val="baseline"/>
        </w:rPr>
        <w:tab/>
      </w:r>
      <w:r w:rsidRPr="00286D52">
        <w:t xml:space="preserve">CEDAW66 Ukraine, </w:t>
      </w:r>
      <w:hyperlink r:id="rId47" w:history="1">
        <w:r>
          <w:rPr>
            <w:rStyle w:val="Hyperlink"/>
            <w:sz w:val="15"/>
            <w:szCs w:val="15"/>
          </w:rPr>
          <w:t>https://stopigm.org/post/Ukraine-Instrumentalising-Intersex-and-IGM-for-LGBT-and-Gender-Politics</w:t>
        </w:r>
      </w:hyperlink>
      <w:r w:rsidRPr="00286D52">
        <w:t xml:space="preserve"> </w:t>
      </w:r>
    </w:p>
  </w:footnote>
  <w:footnote w:id="80">
    <w:p w:rsidR="00AE5854" w:rsidRPr="00286D52" w:rsidRDefault="00AE5854" w:rsidP="00AE5854">
      <w:pPr>
        <w:pStyle w:val="fussnoteschattenbericht"/>
      </w:pPr>
      <w:r w:rsidRPr="00BB7681">
        <w:rPr>
          <w:rStyle w:val="Funotenzeichen3"/>
          <w:kern w:val="20"/>
          <w:vertAlign w:val="baseline"/>
        </w:rPr>
        <w:footnoteRef/>
      </w:r>
      <w:r w:rsidRPr="00286D52">
        <w:tab/>
        <w:t xml:space="preserve">For references, see 2016 CEDAW France NGO Report, p. 45 </w:t>
      </w:r>
      <w:r w:rsidRPr="00286D52">
        <w:br/>
      </w:r>
      <w:hyperlink r:id="rId48" w:history="1">
        <w:r w:rsidRPr="003C22A3">
          <w:rPr>
            <w:rStyle w:val="Hyperlink"/>
          </w:rPr>
          <w:t>https://intersex.shadowreport.org/public/2016-CEDAW-France-NGO-Zwischengeschlecht-Intersex-IGM.pdf</w:t>
        </w:r>
      </w:hyperlink>
    </w:p>
  </w:footnote>
  <w:footnote w:id="81">
    <w:p w:rsidR="00AE5854" w:rsidRPr="00286D52" w:rsidRDefault="00AE5854" w:rsidP="00AE5854">
      <w:pPr>
        <w:pStyle w:val="fussnoteschattenbericht"/>
      </w:pPr>
      <w:r w:rsidRPr="00BB7681">
        <w:rPr>
          <w:rStyle w:val="Funotenzeichen3"/>
          <w:kern w:val="20"/>
          <w:vertAlign w:val="baseline"/>
        </w:rPr>
        <w:footnoteRef/>
      </w:r>
      <w:r w:rsidRPr="00BB7681">
        <w:rPr>
          <w:rStyle w:val="Funotenzeichen3"/>
          <w:kern w:val="20"/>
          <w:vertAlign w:val="baseline"/>
        </w:rPr>
        <w:t xml:space="preserve"> </w:t>
      </w:r>
      <w:r w:rsidRPr="00286D52">
        <w:tab/>
        <w:t xml:space="preserve">For example ACHPR Commissioner Lawrence </w:t>
      </w:r>
      <w:proofErr w:type="spellStart"/>
      <w:r w:rsidRPr="00286D52">
        <w:t>Murugu</w:t>
      </w:r>
      <w:proofErr w:type="spellEnd"/>
      <w:r w:rsidRPr="00286D52">
        <w:t xml:space="preserve"> Mute, see </w:t>
      </w:r>
      <w:r w:rsidRPr="00286D52">
        <w:br/>
      </w:r>
      <w:hyperlink r:id="rId49" w:history="1">
        <w:r>
          <w:rPr>
            <w:rStyle w:val="Hyperlink"/>
            <w:sz w:val="19"/>
            <w:szCs w:val="19"/>
          </w:rPr>
          <w:t>https://stopigm.org/post/ACHPR-African-Commissioner-warns-Stop-conflating-intersex-and-LGBT</w:t>
        </w:r>
      </w:hyperlink>
      <w:r w:rsidRPr="00286D52">
        <w:t xml:space="preserve"> </w:t>
      </w:r>
    </w:p>
  </w:footnote>
  <w:footnote w:id="82">
    <w:p w:rsidR="00AE5854" w:rsidRPr="00286D52" w:rsidRDefault="00AE5854" w:rsidP="00AE5854">
      <w:pPr>
        <w:pStyle w:val="fussnoteschattenbericht"/>
      </w:pPr>
      <w:r w:rsidRPr="00BB7681">
        <w:rPr>
          <w:rStyle w:val="Funotenzeichen3"/>
          <w:kern w:val="20"/>
          <w:vertAlign w:val="baseline"/>
        </w:rPr>
        <w:footnoteRef/>
      </w:r>
      <w:r w:rsidRPr="00286D52">
        <w:tab/>
        <w:t xml:space="preserve">2018 Report of the Kenya National Commission on Human Rights (KNCHR), p. 15, </w:t>
      </w:r>
      <w:hyperlink r:id="rId50" w:history="1">
        <w:r w:rsidRPr="00286D52">
          <w:rPr>
            <w:rStyle w:val="Hyperlink"/>
          </w:rPr>
          <w:t>https://www.knchr.org/Portals/0/GroupRightsReports/Equal%20In%20Dignity%20and%20Rights_Promoting%20The%20Rights%20Of%20Intersex%20Persons%20In%20Kenya.pdf?ver=2018-06-06-161118-323</w:t>
        </w:r>
      </w:hyperlink>
      <w:r w:rsidRPr="00286D52">
        <w:t xml:space="preserve">  </w:t>
      </w:r>
    </w:p>
  </w:footnote>
  <w:footnote w:id="83">
    <w:p w:rsidR="00BB7681" w:rsidRPr="00286D52" w:rsidRDefault="00BB7681" w:rsidP="00BB7681">
      <w:pPr>
        <w:pStyle w:val="fussnoteschattenbericht"/>
      </w:pPr>
      <w:r w:rsidRPr="00DE2FB6">
        <w:rPr>
          <w:rStyle w:val="Funotenzeichen3"/>
          <w:kern w:val="20"/>
          <w:vertAlign w:val="baseline"/>
        </w:rPr>
        <w:footnoteRef/>
      </w:r>
      <w:r w:rsidRPr="00286D52">
        <w:tab/>
      </w:r>
      <w:r>
        <w:t xml:space="preserve">See 2024 CAT Finland NGO Report (INT/CAT/NGO/FIN/57888), p. 26-27, </w:t>
      </w:r>
      <w:hyperlink r:id="rId51" w:history="1">
        <w:r w:rsidRPr="00426A15">
          <w:rPr>
            <w:rStyle w:val="Hyperlink"/>
          </w:rPr>
          <w:t>https://intersex.shadowreport.org/public/2024-CAT-Finland-NGO-Intersex-StopIGM.pdf</w:t>
        </w:r>
      </w:hyperlink>
      <w:r>
        <w:t xml:space="preserve"> </w:t>
      </w:r>
    </w:p>
  </w:footnote>
  <w:footnote w:id="84">
    <w:p w:rsidR="00BB7681" w:rsidRPr="00286D52" w:rsidRDefault="00BB7681" w:rsidP="00BB7681">
      <w:pPr>
        <w:pStyle w:val="fussnoteschattenbericht"/>
      </w:pPr>
      <w:r w:rsidRPr="00BB7681">
        <w:rPr>
          <w:rStyle w:val="Funotenzeichen3"/>
          <w:kern w:val="20"/>
          <w:vertAlign w:val="baseline"/>
        </w:rPr>
        <w:footnoteRef/>
      </w:r>
      <w:r w:rsidRPr="00286D52">
        <w:tab/>
      </w:r>
      <w:r w:rsidR="00053B82">
        <w:t>See 2019 CCPR Belgium NGO Report (</w:t>
      </w:r>
      <w:r w:rsidR="00795F1B">
        <w:t>INT/CCPR/CSS/BEL/37123</w:t>
      </w:r>
      <w:r w:rsidR="00053B82">
        <w:t xml:space="preserve">), p. 28, </w:t>
      </w:r>
      <w:hyperlink r:id="rId52" w:history="1">
        <w:r w:rsidR="00053B82" w:rsidRPr="00426A15">
          <w:rPr>
            <w:rStyle w:val="Hyperlink"/>
          </w:rPr>
          <w:t>http://intersex.shadowreport.org/public/2019-CCPR-Belgium-NGO-Intersex-StopIGM.pdf</w:t>
        </w:r>
      </w:hyperlink>
      <w:r w:rsidR="00053B82">
        <w:t xml:space="preserve"> </w:t>
      </w:r>
      <w:r w:rsidRPr="00286D5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6E6" w:rsidRPr="00F74BE8" w:rsidRDefault="00BF46E6" w:rsidP="00F74BE8">
    <w:pPr>
      <w:jc w:val="right"/>
      <w:rPr>
        <w:rFonts w:ascii="Century Gothic" w:hAnsi="Century Gothic" w:cs="Century Gothic"/>
        <w:color w:val="660066"/>
      </w:rPr>
    </w:pPr>
    <w:r w:rsidRPr="007A5C86">
      <w:rPr>
        <w:rFonts w:ascii="Century Gothic" w:hAnsi="Century Gothic" w:cs="Century Gothic"/>
        <w:color w:val="660066"/>
      </w:rPr>
      <w:fldChar w:fldCharType="begin"/>
    </w:r>
    <w:r>
      <w:rPr>
        <w:rFonts w:ascii="Century Gothic" w:hAnsi="Century Gothic" w:cs="Century Gothic"/>
        <w:color w:val="660066"/>
      </w:rPr>
      <w:instrText>PAGE</w:instrText>
    </w:r>
    <w:r w:rsidRPr="007A5C86">
      <w:rPr>
        <w:rFonts w:ascii="Century Gothic" w:hAnsi="Century Gothic" w:cs="Century Gothic"/>
        <w:color w:val="660066"/>
      </w:rPr>
      <w:instrText xml:space="preserve">   \* MERGEFORMAT</w:instrText>
    </w:r>
    <w:r w:rsidRPr="007A5C86">
      <w:rPr>
        <w:rFonts w:ascii="Century Gothic" w:hAnsi="Century Gothic" w:cs="Century Gothic"/>
        <w:color w:val="660066"/>
      </w:rPr>
      <w:fldChar w:fldCharType="separate"/>
    </w:r>
    <w:r>
      <w:rPr>
        <w:rFonts w:ascii="Century Gothic" w:hAnsi="Century Gothic" w:cs="Century Gothic"/>
        <w:noProof/>
        <w:color w:val="660066"/>
      </w:rPr>
      <w:t>5</w:t>
    </w:r>
    <w:r w:rsidRPr="007A5C86">
      <w:rPr>
        <w:rFonts w:ascii="Century Gothic" w:hAnsi="Century Gothic" w:cs="Century Gothic"/>
        <w:color w:val="66006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6E6" w:rsidRPr="00991D4E" w:rsidRDefault="00BF46E6" w:rsidP="002A12D5">
    <w:pPr>
      <w:jc w:val="right"/>
      <w:rPr>
        <w:rFonts w:ascii="Century Gothic" w:hAnsi="Century Gothic" w:cs="Century Gothic"/>
        <w:color w:val="660066"/>
        <w:sz w:val="28"/>
        <w:lang w:val="en-US"/>
      </w:rPr>
    </w:pPr>
    <w:r>
      <w:rPr>
        <w:noProof/>
        <w:lang w:eastAsia="de-CH"/>
      </w:rPr>
      <w:drawing>
        <wp:anchor distT="0" distB="0" distL="114300" distR="114300" simplePos="0" relativeHeight="251657728" behindDoc="0" locked="0" layoutInCell="1" allowOverlap="1">
          <wp:simplePos x="0" y="0"/>
          <wp:positionH relativeFrom="column">
            <wp:posOffset>53975</wp:posOffset>
          </wp:positionH>
          <wp:positionV relativeFrom="paragraph">
            <wp:posOffset>-81915</wp:posOffset>
          </wp:positionV>
          <wp:extent cx="979805" cy="1139190"/>
          <wp:effectExtent l="0" t="0" r="0" b="0"/>
          <wp:wrapThrough wrapText="bothSides">
            <wp:wrapPolygon edited="0">
              <wp:start x="0" y="0"/>
              <wp:lineTo x="0" y="21431"/>
              <wp:lineTo x="21278" y="21431"/>
              <wp:lineTo x="21278" y="0"/>
              <wp:lineTo x="0" y="0"/>
            </wp:wrapPolygon>
          </wp:wrapThrough>
          <wp:docPr id="4" name="Bild 2" descr="Beschreibung: Macintosh HD:Users:PowerbookDT:Desktop:StopIGM_org-Logo-Briefkopf.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descr="Beschreibung: Macintosh HD:Users:PowerbookDT:Desktop:StopIGM_org-Logo-Briefkopf.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1139190"/>
                  </a:xfrm>
                  <a:prstGeom prst="rect">
                    <a:avLst/>
                  </a:prstGeom>
                  <a:noFill/>
                </pic:spPr>
              </pic:pic>
            </a:graphicData>
          </a:graphic>
          <wp14:sizeRelH relativeFrom="page">
            <wp14:pctWidth>0</wp14:pctWidth>
          </wp14:sizeRelH>
          <wp14:sizeRelV relativeFrom="page">
            <wp14:pctHeight>0</wp14:pctHeight>
          </wp14:sizeRelV>
        </wp:anchor>
      </w:drawing>
    </w:r>
    <w:r w:rsidRPr="00991D4E">
      <w:rPr>
        <w:rFonts w:ascii="Century Gothic" w:hAnsi="Century Gothic" w:cs="Century Gothic"/>
        <w:color w:val="660066"/>
        <w:sz w:val="40"/>
        <w:lang w:val="en-US"/>
      </w:rPr>
      <w:t>StopIGM.org</w:t>
    </w:r>
  </w:p>
  <w:p w:rsidR="00BF46E6" w:rsidRPr="00991D4E" w:rsidRDefault="00BF46E6" w:rsidP="002A12D5">
    <w:pPr>
      <w:jc w:val="right"/>
      <w:rPr>
        <w:lang w:val="en-US"/>
      </w:rPr>
    </w:pPr>
    <w:r w:rsidRPr="00991D4E">
      <w:rPr>
        <w:rFonts w:ascii="Century Gothic" w:hAnsi="Century Gothic" w:cs="Century Gothic"/>
        <w:color w:val="660066"/>
        <w:sz w:val="28"/>
        <w:lang w:val="en-US"/>
      </w:rPr>
      <w:t>Human Rights for Hermaphrodites Too!</w:t>
    </w:r>
  </w:p>
  <w:p w:rsidR="00BF46E6" w:rsidRPr="00991D4E" w:rsidRDefault="00BF46E6" w:rsidP="002A12D5">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3424A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15:restartNumberingAfterBreak="0">
    <w:nsid w:val="00000002"/>
    <w:multiLevelType w:val="multilevel"/>
    <w:tmpl w:val="00000002"/>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 w15:restartNumberingAfterBreak="0">
    <w:nsid w:val="00000003"/>
    <w:multiLevelType w:val="multilevel"/>
    <w:tmpl w:val="00000003"/>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 w15:restartNumberingAfterBreak="0">
    <w:nsid w:val="00000004"/>
    <w:multiLevelType w:val="multilevel"/>
    <w:tmpl w:val="00000004"/>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 w15:restartNumberingAfterBreak="0">
    <w:nsid w:val="00000008"/>
    <w:multiLevelType w:val="multilevel"/>
    <w:tmpl w:val="00000008"/>
    <w:name w:val="WW8Num23"/>
    <w:lvl w:ilvl="0">
      <w:start w:val="1"/>
      <w:numFmt w:val="decimal"/>
      <w:lvlText w:val="%1."/>
      <w:lvlJc w:val="left"/>
      <w:pPr>
        <w:tabs>
          <w:tab w:val="num" w:pos="454"/>
        </w:tabs>
        <w:ind w:left="0" w:hanging="227"/>
      </w:pPr>
      <w:rPr>
        <w:rFonts w:ascii="Times New Roman" w:hAnsi="Times New Roman" w:cs="Times New Roman" w:hint="default"/>
        <w:b/>
        <w:bCs/>
        <w:i w:val="0"/>
        <w:iCs w:val="0"/>
        <w:sz w:val="24"/>
        <w:szCs w:val="24"/>
      </w:rPr>
    </w:lvl>
    <w:lvl w:ilvl="1">
      <w:start w:val="1"/>
      <w:numFmt w:val="decimal"/>
      <w:lvlText w:val="%1.%2."/>
      <w:lvlJc w:val="left"/>
      <w:pPr>
        <w:tabs>
          <w:tab w:val="num" w:pos="0"/>
        </w:tabs>
        <w:ind w:left="565" w:hanging="432"/>
      </w:pPr>
      <w:rPr>
        <w:rFonts w:hint="default"/>
      </w:rPr>
    </w:lvl>
    <w:lvl w:ilvl="2">
      <w:start w:val="1"/>
      <w:numFmt w:val="decimal"/>
      <w:lvlText w:val="%1.%2.%3."/>
      <w:lvlJc w:val="left"/>
      <w:pPr>
        <w:tabs>
          <w:tab w:val="num" w:pos="0"/>
        </w:tabs>
        <w:ind w:left="997" w:hanging="504"/>
      </w:pPr>
      <w:rPr>
        <w:rFonts w:hint="default"/>
      </w:rPr>
    </w:lvl>
    <w:lvl w:ilvl="3">
      <w:start w:val="1"/>
      <w:numFmt w:val="decimal"/>
      <w:lvlText w:val="%1.%2.%3.%4."/>
      <w:lvlJc w:val="left"/>
      <w:pPr>
        <w:tabs>
          <w:tab w:val="num" w:pos="0"/>
        </w:tabs>
        <w:ind w:left="1501" w:hanging="648"/>
      </w:pPr>
      <w:rPr>
        <w:rFonts w:hint="default"/>
      </w:rPr>
    </w:lvl>
    <w:lvl w:ilvl="4">
      <w:start w:val="1"/>
      <w:numFmt w:val="decimal"/>
      <w:lvlText w:val="%1.%2.%3.%4.%5."/>
      <w:lvlJc w:val="left"/>
      <w:pPr>
        <w:tabs>
          <w:tab w:val="num" w:pos="0"/>
        </w:tabs>
        <w:ind w:left="2005" w:hanging="792"/>
      </w:pPr>
      <w:rPr>
        <w:rFonts w:hint="default"/>
      </w:rPr>
    </w:lvl>
    <w:lvl w:ilvl="5">
      <w:start w:val="1"/>
      <w:numFmt w:val="decimal"/>
      <w:lvlText w:val="%1.%2.%3.%4.%5.%6."/>
      <w:lvlJc w:val="left"/>
      <w:pPr>
        <w:tabs>
          <w:tab w:val="num" w:pos="0"/>
        </w:tabs>
        <w:ind w:left="2509" w:hanging="936"/>
      </w:pPr>
      <w:rPr>
        <w:rFonts w:hint="default"/>
      </w:rPr>
    </w:lvl>
    <w:lvl w:ilvl="6">
      <w:start w:val="1"/>
      <w:numFmt w:val="decimal"/>
      <w:lvlText w:val="%1.%2.%3.%4.%5.%6.%7."/>
      <w:lvlJc w:val="left"/>
      <w:pPr>
        <w:tabs>
          <w:tab w:val="num" w:pos="0"/>
        </w:tabs>
        <w:ind w:left="3013" w:hanging="1080"/>
      </w:pPr>
      <w:rPr>
        <w:rFonts w:hint="default"/>
      </w:rPr>
    </w:lvl>
    <w:lvl w:ilvl="7">
      <w:start w:val="1"/>
      <w:numFmt w:val="decimal"/>
      <w:lvlText w:val="%1.%2.%3.%4.%5.%6.%7.%8."/>
      <w:lvlJc w:val="left"/>
      <w:pPr>
        <w:tabs>
          <w:tab w:val="num" w:pos="0"/>
        </w:tabs>
        <w:ind w:left="3517" w:hanging="1224"/>
      </w:pPr>
      <w:rPr>
        <w:rFonts w:hint="default"/>
      </w:rPr>
    </w:lvl>
    <w:lvl w:ilvl="8">
      <w:start w:val="1"/>
      <w:numFmt w:val="decimal"/>
      <w:lvlText w:val="%1.%2.%3.%4.%5.%6.%7.%8.%9."/>
      <w:lvlJc w:val="left"/>
      <w:pPr>
        <w:tabs>
          <w:tab w:val="num" w:pos="0"/>
        </w:tabs>
        <w:ind w:left="4093" w:hanging="1440"/>
      </w:pPr>
      <w:rPr>
        <w:rFonts w:hint="default"/>
      </w:rPr>
    </w:lvl>
  </w:abstractNum>
  <w:abstractNum w:abstractNumId="6" w15:restartNumberingAfterBreak="0">
    <w:nsid w:val="02176287"/>
    <w:multiLevelType w:val="hybridMultilevel"/>
    <w:tmpl w:val="9718000A"/>
    <w:lvl w:ilvl="0" w:tplc="9B4A0936">
      <w:numFmt w:val="bullet"/>
      <w:lvlText w:val="•"/>
      <w:lvlJc w:val="left"/>
      <w:pPr>
        <w:ind w:left="720" w:hanging="360"/>
      </w:pPr>
      <w:rPr>
        <w:rFonts w:ascii="Times New Roman" w:eastAsia="Baskerville"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5034348"/>
    <w:multiLevelType w:val="hybridMultilevel"/>
    <w:tmpl w:val="8DDEE06E"/>
    <w:lvl w:ilvl="0" w:tplc="71AEBF62">
      <w:start w:val="1"/>
      <w:numFmt w:val="decimal"/>
      <w:lvlText w:val="%1."/>
      <w:lvlJc w:val="left"/>
      <w:pPr>
        <w:ind w:left="1689" w:hanging="555"/>
      </w:pPr>
      <w:rPr>
        <w:rFonts w:hint="default"/>
        <w:b w:val="0"/>
        <w:bCs/>
        <w:i w:val="0"/>
        <w:iCs w:val="0"/>
        <w:sz w:val="20"/>
        <w:szCs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176B26FF"/>
    <w:multiLevelType w:val="hybridMultilevel"/>
    <w:tmpl w:val="7BA86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F70EEB"/>
    <w:multiLevelType w:val="hybridMultilevel"/>
    <w:tmpl w:val="A69C221A"/>
    <w:lvl w:ilvl="0" w:tplc="19AE8AB0">
      <w:start w:val="1"/>
      <w:numFmt w:val="bullet"/>
      <w:pStyle w:val="Absatznummerier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8A0D94"/>
    <w:multiLevelType w:val="hybridMultilevel"/>
    <w:tmpl w:val="821AA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B6151D"/>
    <w:multiLevelType w:val="hybridMultilevel"/>
    <w:tmpl w:val="5D38B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6B39E0"/>
    <w:multiLevelType w:val="hybridMultilevel"/>
    <w:tmpl w:val="EE0829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61690C"/>
    <w:multiLevelType w:val="hybridMultilevel"/>
    <w:tmpl w:val="837A3D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0A312AF"/>
    <w:multiLevelType w:val="hybridMultilevel"/>
    <w:tmpl w:val="FF18E2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0A319A1"/>
    <w:multiLevelType w:val="hybridMultilevel"/>
    <w:tmpl w:val="FA064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12809B7"/>
    <w:multiLevelType w:val="hybridMultilevel"/>
    <w:tmpl w:val="D7AA3C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7F1B1B"/>
    <w:multiLevelType w:val="hybridMultilevel"/>
    <w:tmpl w:val="24E82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7D20EE"/>
    <w:multiLevelType w:val="hybridMultilevel"/>
    <w:tmpl w:val="0CD4A7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1D26EE"/>
    <w:multiLevelType w:val="hybridMultilevel"/>
    <w:tmpl w:val="46ACA7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2707BD7"/>
    <w:multiLevelType w:val="hybridMultilevel"/>
    <w:tmpl w:val="53125C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48014E5"/>
    <w:multiLevelType w:val="hybridMultilevel"/>
    <w:tmpl w:val="0374E2E4"/>
    <w:lvl w:ilvl="0" w:tplc="15E680E0">
      <w:start w:val="1"/>
      <w:numFmt w:val="decimal"/>
      <w:lvlText w:val="%1."/>
      <w:lvlJc w:val="left"/>
      <w:pPr>
        <w:ind w:left="1495" w:hanging="360"/>
      </w:pPr>
      <w:rPr>
        <w:rFonts w:ascii="Times New Roman" w:eastAsia="Times New Roman" w:hAnsi="Times New Roman" w:cs="Times New Roman"/>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4A1B377D"/>
    <w:multiLevelType w:val="hybridMultilevel"/>
    <w:tmpl w:val="EC1A6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EB82924"/>
    <w:multiLevelType w:val="hybridMultilevel"/>
    <w:tmpl w:val="08224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A65ECF"/>
    <w:multiLevelType w:val="hybridMultilevel"/>
    <w:tmpl w:val="F68CF66C"/>
    <w:lvl w:ilvl="0" w:tplc="04070001">
      <w:start w:val="1"/>
      <w:numFmt w:val="bullet"/>
      <w:lvlText w:val=""/>
      <w:lvlJc w:val="left"/>
      <w:pPr>
        <w:ind w:left="360" w:hanging="360"/>
      </w:pPr>
      <w:rPr>
        <w:rFonts w:ascii="Symbol" w:hAnsi="Symbol" w:hint="default"/>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52E0695"/>
    <w:multiLevelType w:val="hybridMultilevel"/>
    <w:tmpl w:val="54E678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C84FCD"/>
    <w:multiLevelType w:val="hybridMultilevel"/>
    <w:tmpl w:val="52586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954B5F"/>
    <w:multiLevelType w:val="hybridMultilevel"/>
    <w:tmpl w:val="5F327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2F606FD"/>
    <w:multiLevelType w:val="hybridMultilevel"/>
    <w:tmpl w:val="8744C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3112D3C"/>
    <w:multiLevelType w:val="hybridMultilevel"/>
    <w:tmpl w:val="365822B0"/>
    <w:lvl w:ilvl="0" w:tplc="B8D68F3A">
      <w:start w:val="1"/>
      <w:numFmt w:val="lowerLetter"/>
      <w:lvlText w:val="(%1)"/>
      <w:lvlJc w:val="left"/>
      <w:pPr>
        <w:ind w:left="760" w:hanging="4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8120DA8"/>
    <w:multiLevelType w:val="hybridMultilevel"/>
    <w:tmpl w:val="04D0DB04"/>
    <w:lvl w:ilvl="0" w:tplc="ABCEA2A6">
      <w:start w:val="1"/>
      <w:numFmt w:val="decimal"/>
      <w:lvlText w:val="%1."/>
      <w:lvlJc w:val="left"/>
      <w:pPr>
        <w:ind w:left="0" w:firstLine="0"/>
      </w:pPr>
      <w:rPr>
        <w:rFonts w:ascii="Times New Roman" w:hAnsi="Times New Roman" w:cs="Times New Roman"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93F3613"/>
    <w:multiLevelType w:val="hybridMultilevel"/>
    <w:tmpl w:val="67000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3"/>
  </w:num>
  <w:num w:numId="6">
    <w:abstractNumId w:val="19"/>
  </w:num>
  <w:num w:numId="7">
    <w:abstractNumId w:val="20"/>
  </w:num>
  <w:num w:numId="8">
    <w:abstractNumId w:val="6"/>
  </w:num>
  <w:num w:numId="9">
    <w:abstractNumId w:val="0"/>
  </w:num>
  <w:num w:numId="10">
    <w:abstractNumId w:val="21"/>
  </w:num>
  <w:num w:numId="11">
    <w:abstractNumId w:val="7"/>
  </w:num>
  <w:num w:numId="12">
    <w:abstractNumId w:val="11"/>
  </w:num>
  <w:num w:numId="13">
    <w:abstractNumId w:val="10"/>
  </w:num>
  <w:num w:numId="14">
    <w:abstractNumId w:val="16"/>
  </w:num>
  <w:num w:numId="15">
    <w:abstractNumId w:val="17"/>
  </w:num>
  <w:num w:numId="16">
    <w:abstractNumId w:val="25"/>
  </w:num>
  <w:num w:numId="17">
    <w:abstractNumId w:val="29"/>
  </w:num>
  <w:num w:numId="18">
    <w:abstractNumId w:val="5"/>
  </w:num>
  <w:num w:numId="19">
    <w:abstractNumId w:val="30"/>
  </w:num>
  <w:num w:numId="20">
    <w:abstractNumId w:val="8"/>
  </w:num>
  <w:num w:numId="21">
    <w:abstractNumId w:val="24"/>
  </w:num>
  <w:num w:numId="22">
    <w:abstractNumId w:val="23"/>
  </w:num>
  <w:num w:numId="23">
    <w:abstractNumId w:val="14"/>
  </w:num>
  <w:num w:numId="24">
    <w:abstractNumId w:val="18"/>
  </w:num>
  <w:num w:numId="25">
    <w:abstractNumId w:val="28"/>
  </w:num>
  <w:num w:numId="26">
    <w:abstractNumId w:val="12"/>
  </w:num>
  <w:num w:numId="27">
    <w:abstractNumId w:val="22"/>
  </w:num>
  <w:num w:numId="28">
    <w:abstractNumId w:val="27"/>
  </w:num>
  <w:num w:numId="29">
    <w:abstractNumId w:val="9"/>
  </w:num>
  <w:num w:numId="30">
    <w:abstractNumId w:val="26"/>
  </w:num>
  <w:num w:numId="31">
    <w:abstractNumId w:val="1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1D9"/>
    <w:rsid w:val="00000CFC"/>
    <w:rsid w:val="0000435E"/>
    <w:rsid w:val="0000459A"/>
    <w:rsid w:val="00010522"/>
    <w:rsid w:val="00011EB7"/>
    <w:rsid w:val="0001292E"/>
    <w:rsid w:val="000160D3"/>
    <w:rsid w:val="0002098C"/>
    <w:rsid w:val="00021420"/>
    <w:rsid w:val="00030049"/>
    <w:rsid w:val="00031253"/>
    <w:rsid w:val="000329E8"/>
    <w:rsid w:val="00033F4B"/>
    <w:rsid w:val="00034A0B"/>
    <w:rsid w:val="00035392"/>
    <w:rsid w:val="000355D6"/>
    <w:rsid w:val="000359C8"/>
    <w:rsid w:val="0003785B"/>
    <w:rsid w:val="00046241"/>
    <w:rsid w:val="000507FD"/>
    <w:rsid w:val="00050EAC"/>
    <w:rsid w:val="00053B82"/>
    <w:rsid w:val="0005550E"/>
    <w:rsid w:val="00057F91"/>
    <w:rsid w:val="0006295C"/>
    <w:rsid w:val="00064617"/>
    <w:rsid w:val="00065C38"/>
    <w:rsid w:val="00066E12"/>
    <w:rsid w:val="00066FC1"/>
    <w:rsid w:val="00070DD8"/>
    <w:rsid w:val="00075AAE"/>
    <w:rsid w:val="000764CF"/>
    <w:rsid w:val="00077801"/>
    <w:rsid w:val="000828AD"/>
    <w:rsid w:val="000937E0"/>
    <w:rsid w:val="00093952"/>
    <w:rsid w:val="000953A5"/>
    <w:rsid w:val="00096FF5"/>
    <w:rsid w:val="000A07DB"/>
    <w:rsid w:val="000A120B"/>
    <w:rsid w:val="000A204A"/>
    <w:rsid w:val="000A5F2F"/>
    <w:rsid w:val="000A6A45"/>
    <w:rsid w:val="000B0BF4"/>
    <w:rsid w:val="000B4591"/>
    <w:rsid w:val="000B5656"/>
    <w:rsid w:val="000B6183"/>
    <w:rsid w:val="000C0B7D"/>
    <w:rsid w:val="000C5093"/>
    <w:rsid w:val="000C7211"/>
    <w:rsid w:val="000D119E"/>
    <w:rsid w:val="000D1709"/>
    <w:rsid w:val="000D3261"/>
    <w:rsid w:val="000D4DCA"/>
    <w:rsid w:val="000D4F05"/>
    <w:rsid w:val="000D54E3"/>
    <w:rsid w:val="000D7068"/>
    <w:rsid w:val="000E0A0F"/>
    <w:rsid w:val="000E4865"/>
    <w:rsid w:val="000E4B94"/>
    <w:rsid w:val="000E4BF5"/>
    <w:rsid w:val="000E688A"/>
    <w:rsid w:val="000E6CC4"/>
    <w:rsid w:val="000E7303"/>
    <w:rsid w:val="000F0BDD"/>
    <w:rsid w:val="000F0E17"/>
    <w:rsid w:val="000F3D6F"/>
    <w:rsid w:val="000F5F50"/>
    <w:rsid w:val="000F60EC"/>
    <w:rsid w:val="000F721B"/>
    <w:rsid w:val="000F7483"/>
    <w:rsid w:val="000F7E8A"/>
    <w:rsid w:val="00101A25"/>
    <w:rsid w:val="00107BE2"/>
    <w:rsid w:val="00111AD2"/>
    <w:rsid w:val="001158FE"/>
    <w:rsid w:val="001161BF"/>
    <w:rsid w:val="00122C57"/>
    <w:rsid w:val="001237DD"/>
    <w:rsid w:val="001241CA"/>
    <w:rsid w:val="00134B7D"/>
    <w:rsid w:val="001370A1"/>
    <w:rsid w:val="00141B89"/>
    <w:rsid w:val="00147025"/>
    <w:rsid w:val="00147317"/>
    <w:rsid w:val="00147B45"/>
    <w:rsid w:val="0015009A"/>
    <w:rsid w:val="00153C48"/>
    <w:rsid w:val="0015757C"/>
    <w:rsid w:val="00157C3E"/>
    <w:rsid w:val="001616E2"/>
    <w:rsid w:val="001668FD"/>
    <w:rsid w:val="00170A19"/>
    <w:rsid w:val="001719A7"/>
    <w:rsid w:val="00171F46"/>
    <w:rsid w:val="0017219E"/>
    <w:rsid w:val="00172DD9"/>
    <w:rsid w:val="001730CA"/>
    <w:rsid w:val="00174F35"/>
    <w:rsid w:val="001753C0"/>
    <w:rsid w:val="00181031"/>
    <w:rsid w:val="0018397C"/>
    <w:rsid w:val="001845C5"/>
    <w:rsid w:val="001856DC"/>
    <w:rsid w:val="001867BE"/>
    <w:rsid w:val="001924EF"/>
    <w:rsid w:val="00193252"/>
    <w:rsid w:val="00196485"/>
    <w:rsid w:val="001A20D8"/>
    <w:rsid w:val="001A5056"/>
    <w:rsid w:val="001A70B7"/>
    <w:rsid w:val="001B3CE4"/>
    <w:rsid w:val="001B59F7"/>
    <w:rsid w:val="001B6711"/>
    <w:rsid w:val="001B76FE"/>
    <w:rsid w:val="001C258A"/>
    <w:rsid w:val="001C263B"/>
    <w:rsid w:val="001C348A"/>
    <w:rsid w:val="001C427F"/>
    <w:rsid w:val="001C5502"/>
    <w:rsid w:val="001D070D"/>
    <w:rsid w:val="001D3436"/>
    <w:rsid w:val="001D3749"/>
    <w:rsid w:val="001D4847"/>
    <w:rsid w:val="001D558F"/>
    <w:rsid w:val="001E400B"/>
    <w:rsid w:val="001E51C0"/>
    <w:rsid w:val="001E7176"/>
    <w:rsid w:val="001F22E4"/>
    <w:rsid w:val="002005DF"/>
    <w:rsid w:val="00202236"/>
    <w:rsid w:val="00203D98"/>
    <w:rsid w:val="00205FE7"/>
    <w:rsid w:val="00211C33"/>
    <w:rsid w:val="002157EE"/>
    <w:rsid w:val="002236CB"/>
    <w:rsid w:val="00223DF2"/>
    <w:rsid w:val="002345BC"/>
    <w:rsid w:val="00241181"/>
    <w:rsid w:val="00243E82"/>
    <w:rsid w:val="00243F22"/>
    <w:rsid w:val="0025414B"/>
    <w:rsid w:val="00255B2A"/>
    <w:rsid w:val="00256289"/>
    <w:rsid w:val="0025741D"/>
    <w:rsid w:val="00261ACF"/>
    <w:rsid w:val="00264DC2"/>
    <w:rsid w:val="002656EE"/>
    <w:rsid w:val="00266830"/>
    <w:rsid w:val="002674A3"/>
    <w:rsid w:val="002722B6"/>
    <w:rsid w:val="00272CBB"/>
    <w:rsid w:val="00275078"/>
    <w:rsid w:val="00275596"/>
    <w:rsid w:val="00276DCE"/>
    <w:rsid w:val="00282E83"/>
    <w:rsid w:val="00284345"/>
    <w:rsid w:val="00290A09"/>
    <w:rsid w:val="002912F2"/>
    <w:rsid w:val="00295D6B"/>
    <w:rsid w:val="0029697C"/>
    <w:rsid w:val="00297186"/>
    <w:rsid w:val="002A0CD1"/>
    <w:rsid w:val="002A12D5"/>
    <w:rsid w:val="002A1BF0"/>
    <w:rsid w:val="002A2D20"/>
    <w:rsid w:val="002A68F3"/>
    <w:rsid w:val="002A6948"/>
    <w:rsid w:val="002B0370"/>
    <w:rsid w:val="002B1C6C"/>
    <w:rsid w:val="002B47C8"/>
    <w:rsid w:val="002B50B9"/>
    <w:rsid w:val="002C2A12"/>
    <w:rsid w:val="002C3181"/>
    <w:rsid w:val="002C5A37"/>
    <w:rsid w:val="002C6033"/>
    <w:rsid w:val="002D00B1"/>
    <w:rsid w:val="002D05ED"/>
    <w:rsid w:val="002D2ABB"/>
    <w:rsid w:val="002D74DC"/>
    <w:rsid w:val="002E036E"/>
    <w:rsid w:val="002E26D9"/>
    <w:rsid w:val="002E64A6"/>
    <w:rsid w:val="002F00B4"/>
    <w:rsid w:val="002F0581"/>
    <w:rsid w:val="002F0F83"/>
    <w:rsid w:val="002F1F2B"/>
    <w:rsid w:val="002F25A4"/>
    <w:rsid w:val="002F5059"/>
    <w:rsid w:val="002F571A"/>
    <w:rsid w:val="002F5D39"/>
    <w:rsid w:val="002F7A6B"/>
    <w:rsid w:val="00301CB4"/>
    <w:rsid w:val="00304BF8"/>
    <w:rsid w:val="00306737"/>
    <w:rsid w:val="00307489"/>
    <w:rsid w:val="00307F8A"/>
    <w:rsid w:val="00312823"/>
    <w:rsid w:val="00315250"/>
    <w:rsid w:val="00321047"/>
    <w:rsid w:val="00325C2E"/>
    <w:rsid w:val="00325D44"/>
    <w:rsid w:val="00326500"/>
    <w:rsid w:val="00327978"/>
    <w:rsid w:val="00330531"/>
    <w:rsid w:val="003350A3"/>
    <w:rsid w:val="003356EF"/>
    <w:rsid w:val="0033595A"/>
    <w:rsid w:val="00335EEA"/>
    <w:rsid w:val="00343DF4"/>
    <w:rsid w:val="00346321"/>
    <w:rsid w:val="00352972"/>
    <w:rsid w:val="00355A6E"/>
    <w:rsid w:val="0035722D"/>
    <w:rsid w:val="003607E1"/>
    <w:rsid w:val="00360E64"/>
    <w:rsid w:val="0036112F"/>
    <w:rsid w:val="00362141"/>
    <w:rsid w:val="00364B65"/>
    <w:rsid w:val="00365C19"/>
    <w:rsid w:val="00367280"/>
    <w:rsid w:val="0037150B"/>
    <w:rsid w:val="00371C65"/>
    <w:rsid w:val="00377288"/>
    <w:rsid w:val="003824DA"/>
    <w:rsid w:val="00386155"/>
    <w:rsid w:val="00387318"/>
    <w:rsid w:val="00393514"/>
    <w:rsid w:val="003A1354"/>
    <w:rsid w:val="003A48DB"/>
    <w:rsid w:val="003A76B2"/>
    <w:rsid w:val="003B0145"/>
    <w:rsid w:val="003B03EE"/>
    <w:rsid w:val="003B0F4C"/>
    <w:rsid w:val="003B167B"/>
    <w:rsid w:val="003B2305"/>
    <w:rsid w:val="003B2E19"/>
    <w:rsid w:val="003B331A"/>
    <w:rsid w:val="003B38BF"/>
    <w:rsid w:val="003B3B29"/>
    <w:rsid w:val="003B535D"/>
    <w:rsid w:val="003B583B"/>
    <w:rsid w:val="003D0872"/>
    <w:rsid w:val="003D54A5"/>
    <w:rsid w:val="003E155C"/>
    <w:rsid w:val="003E17B4"/>
    <w:rsid w:val="003E1B43"/>
    <w:rsid w:val="003E2C7B"/>
    <w:rsid w:val="003E391D"/>
    <w:rsid w:val="003E46F1"/>
    <w:rsid w:val="003E6DAB"/>
    <w:rsid w:val="003E7F52"/>
    <w:rsid w:val="003F0172"/>
    <w:rsid w:val="003F37DD"/>
    <w:rsid w:val="003F5DAB"/>
    <w:rsid w:val="0040541F"/>
    <w:rsid w:val="0040757C"/>
    <w:rsid w:val="00407FCE"/>
    <w:rsid w:val="00410CB7"/>
    <w:rsid w:val="004128A2"/>
    <w:rsid w:val="00420A0C"/>
    <w:rsid w:val="00422C1E"/>
    <w:rsid w:val="004260BA"/>
    <w:rsid w:val="00426E79"/>
    <w:rsid w:val="004271DC"/>
    <w:rsid w:val="00427751"/>
    <w:rsid w:val="00430CC6"/>
    <w:rsid w:val="00435205"/>
    <w:rsid w:val="00436906"/>
    <w:rsid w:val="004377C7"/>
    <w:rsid w:val="0043791A"/>
    <w:rsid w:val="00440987"/>
    <w:rsid w:val="004414F4"/>
    <w:rsid w:val="0044402F"/>
    <w:rsid w:val="004458B0"/>
    <w:rsid w:val="00447F3C"/>
    <w:rsid w:val="00450AE3"/>
    <w:rsid w:val="00450F3E"/>
    <w:rsid w:val="0045427A"/>
    <w:rsid w:val="004637B5"/>
    <w:rsid w:val="004662DE"/>
    <w:rsid w:val="00466F44"/>
    <w:rsid w:val="004719C3"/>
    <w:rsid w:val="00473A94"/>
    <w:rsid w:val="00474AF2"/>
    <w:rsid w:val="00477D9C"/>
    <w:rsid w:val="0048168E"/>
    <w:rsid w:val="00482E51"/>
    <w:rsid w:val="00482EEC"/>
    <w:rsid w:val="004849A5"/>
    <w:rsid w:val="0048525F"/>
    <w:rsid w:val="004854B0"/>
    <w:rsid w:val="00491044"/>
    <w:rsid w:val="00491706"/>
    <w:rsid w:val="00492696"/>
    <w:rsid w:val="004958ED"/>
    <w:rsid w:val="004A1085"/>
    <w:rsid w:val="004A3447"/>
    <w:rsid w:val="004A3D43"/>
    <w:rsid w:val="004A6AB2"/>
    <w:rsid w:val="004A6E95"/>
    <w:rsid w:val="004A72B0"/>
    <w:rsid w:val="004A7A8C"/>
    <w:rsid w:val="004B0E10"/>
    <w:rsid w:val="004B138F"/>
    <w:rsid w:val="004B2C7E"/>
    <w:rsid w:val="004B5651"/>
    <w:rsid w:val="004B5D0D"/>
    <w:rsid w:val="004C2495"/>
    <w:rsid w:val="004C29D5"/>
    <w:rsid w:val="004C4C84"/>
    <w:rsid w:val="004C79C5"/>
    <w:rsid w:val="004D338C"/>
    <w:rsid w:val="004D5A7F"/>
    <w:rsid w:val="004E2F8B"/>
    <w:rsid w:val="004E48C1"/>
    <w:rsid w:val="004E75AF"/>
    <w:rsid w:val="004F20D7"/>
    <w:rsid w:val="004F2F69"/>
    <w:rsid w:val="004F38D8"/>
    <w:rsid w:val="004F5AF8"/>
    <w:rsid w:val="004F66DD"/>
    <w:rsid w:val="004F673C"/>
    <w:rsid w:val="004F776C"/>
    <w:rsid w:val="00502546"/>
    <w:rsid w:val="00502E82"/>
    <w:rsid w:val="00504F2A"/>
    <w:rsid w:val="005050BA"/>
    <w:rsid w:val="00506DA7"/>
    <w:rsid w:val="0051046C"/>
    <w:rsid w:val="005115DA"/>
    <w:rsid w:val="00511623"/>
    <w:rsid w:val="00512B03"/>
    <w:rsid w:val="00514165"/>
    <w:rsid w:val="00514378"/>
    <w:rsid w:val="00515555"/>
    <w:rsid w:val="0051597A"/>
    <w:rsid w:val="00521AFE"/>
    <w:rsid w:val="0052264E"/>
    <w:rsid w:val="00524400"/>
    <w:rsid w:val="00525603"/>
    <w:rsid w:val="00525F08"/>
    <w:rsid w:val="00526F66"/>
    <w:rsid w:val="00527E74"/>
    <w:rsid w:val="0054220F"/>
    <w:rsid w:val="00543A93"/>
    <w:rsid w:val="00543F73"/>
    <w:rsid w:val="005451CA"/>
    <w:rsid w:val="00552F8F"/>
    <w:rsid w:val="00553604"/>
    <w:rsid w:val="005541D9"/>
    <w:rsid w:val="00554CEB"/>
    <w:rsid w:val="0055544F"/>
    <w:rsid w:val="005574A0"/>
    <w:rsid w:val="00557A4E"/>
    <w:rsid w:val="005602AA"/>
    <w:rsid w:val="00562FA2"/>
    <w:rsid w:val="005661CF"/>
    <w:rsid w:val="00570026"/>
    <w:rsid w:val="0057435F"/>
    <w:rsid w:val="00577EA1"/>
    <w:rsid w:val="00577EAA"/>
    <w:rsid w:val="0058006E"/>
    <w:rsid w:val="00580838"/>
    <w:rsid w:val="00580F8B"/>
    <w:rsid w:val="00581111"/>
    <w:rsid w:val="00581A68"/>
    <w:rsid w:val="0058252D"/>
    <w:rsid w:val="005838DD"/>
    <w:rsid w:val="00584703"/>
    <w:rsid w:val="00585B2E"/>
    <w:rsid w:val="00586102"/>
    <w:rsid w:val="00590920"/>
    <w:rsid w:val="005A7B0D"/>
    <w:rsid w:val="005B006C"/>
    <w:rsid w:val="005B0346"/>
    <w:rsid w:val="005B2657"/>
    <w:rsid w:val="005B2CF4"/>
    <w:rsid w:val="005B31E2"/>
    <w:rsid w:val="005B360C"/>
    <w:rsid w:val="005B46A5"/>
    <w:rsid w:val="005C147F"/>
    <w:rsid w:val="005D2C76"/>
    <w:rsid w:val="005D34C2"/>
    <w:rsid w:val="005D4642"/>
    <w:rsid w:val="005D4C9E"/>
    <w:rsid w:val="005D5241"/>
    <w:rsid w:val="005D718C"/>
    <w:rsid w:val="005E7835"/>
    <w:rsid w:val="005F14E2"/>
    <w:rsid w:val="00601136"/>
    <w:rsid w:val="00602006"/>
    <w:rsid w:val="006026D0"/>
    <w:rsid w:val="00605E44"/>
    <w:rsid w:val="00610A74"/>
    <w:rsid w:val="0061492D"/>
    <w:rsid w:val="006216BB"/>
    <w:rsid w:val="00621908"/>
    <w:rsid w:val="00623265"/>
    <w:rsid w:val="00623CDF"/>
    <w:rsid w:val="0062721E"/>
    <w:rsid w:val="00633724"/>
    <w:rsid w:val="00633EB7"/>
    <w:rsid w:val="00635F10"/>
    <w:rsid w:val="006373FA"/>
    <w:rsid w:val="00641D7F"/>
    <w:rsid w:val="006439D0"/>
    <w:rsid w:val="00645918"/>
    <w:rsid w:val="00645A95"/>
    <w:rsid w:val="006529C8"/>
    <w:rsid w:val="00652F2A"/>
    <w:rsid w:val="0065327F"/>
    <w:rsid w:val="00653EBA"/>
    <w:rsid w:val="00656DCA"/>
    <w:rsid w:val="00657069"/>
    <w:rsid w:val="0066017A"/>
    <w:rsid w:val="00660C3C"/>
    <w:rsid w:val="006626D4"/>
    <w:rsid w:val="006631F4"/>
    <w:rsid w:val="00666776"/>
    <w:rsid w:val="0066717C"/>
    <w:rsid w:val="00667753"/>
    <w:rsid w:val="00680304"/>
    <w:rsid w:val="006869BB"/>
    <w:rsid w:val="00686FC6"/>
    <w:rsid w:val="00690808"/>
    <w:rsid w:val="00692CBA"/>
    <w:rsid w:val="00697735"/>
    <w:rsid w:val="006A18C4"/>
    <w:rsid w:val="006A23CF"/>
    <w:rsid w:val="006A28FA"/>
    <w:rsid w:val="006A3404"/>
    <w:rsid w:val="006A3425"/>
    <w:rsid w:val="006A5B6D"/>
    <w:rsid w:val="006A65E4"/>
    <w:rsid w:val="006A778C"/>
    <w:rsid w:val="006B0843"/>
    <w:rsid w:val="006B46DE"/>
    <w:rsid w:val="006B634B"/>
    <w:rsid w:val="006B66CB"/>
    <w:rsid w:val="006B7CE2"/>
    <w:rsid w:val="006D0B7A"/>
    <w:rsid w:val="006D159B"/>
    <w:rsid w:val="006D74E5"/>
    <w:rsid w:val="006E62E8"/>
    <w:rsid w:val="006F233F"/>
    <w:rsid w:val="006F489F"/>
    <w:rsid w:val="006F4BD9"/>
    <w:rsid w:val="006F7FB6"/>
    <w:rsid w:val="007004F9"/>
    <w:rsid w:val="00700C9A"/>
    <w:rsid w:val="00701865"/>
    <w:rsid w:val="007037B1"/>
    <w:rsid w:val="00703EDA"/>
    <w:rsid w:val="007076C1"/>
    <w:rsid w:val="0071269C"/>
    <w:rsid w:val="00713BD8"/>
    <w:rsid w:val="00713CA7"/>
    <w:rsid w:val="007143B8"/>
    <w:rsid w:val="00715692"/>
    <w:rsid w:val="007216CB"/>
    <w:rsid w:val="0072303C"/>
    <w:rsid w:val="00723E81"/>
    <w:rsid w:val="00723F7E"/>
    <w:rsid w:val="00724278"/>
    <w:rsid w:val="0073041F"/>
    <w:rsid w:val="00730571"/>
    <w:rsid w:val="0073279A"/>
    <w:rsid w:val="0073327D"/>
    <w:rsid w:val="00733866"/>
    <w:rsid w:val="00733C88"/>
    <w:rsid w:val="00740065"/>
    <w:rsid w:val="00740A59"/>
    <w:rsid w:val="00740DED"/>
    <w:rsid w:val="00741C1D"/>
    <w:rsid w:val="00744F30"/>
    <w:rsid w:val="00756E57"/>
    <w:rsid w:val="00757684"/>
    <w:rsid w:val="0076686D"/>
    <w:rsid w:val="00767323"/>
    <w:rsid w:val="0076754F"/>
    <w:rsid w:val="00773938"/>
    <w:rsid w:val="00777B99"/>
    <w:rsid w:val="00782553"/>
    <w:rsid w:val="007836E8"/>
    <w:rsid w:val="00783B2D"/>
    <w:rsid w:val="0079283A"/>
    <w:rsid w:val="00793AE8"/>
    <w:rsid w:val="00795F1B"/>
    <w:rsid w:val="007A38AE"/>
    <w:rsid w:val="007A4DEC"/>
    <w:rsid w:val="007A59E2"/>
    <w:rsid w:val="007A5C86"/>
    <w:rsid w:val="007A69BF"/>
    <w:rsid w:val="007B1607"/>
    <w:rsid w:val="007B3674"/>
    <w:rsid w:val="007C029E"/>
    <w:rsid w:val="007C0748"/>
    <w:rsid w:val="007C07F2"/>
    <w:rsid w:val="007C0C61"/>
    <w:rsid w:val="007C2010"/>
    <w:rsid w:val="007C73A2"/>
    <w:rsid w:val="007D1242"/>
    <w:rsid w:val="007D24FA"/>
    <w:rsid w:val="007D2697"/>
    <w:rsid w:val="007D57EF"/>
    <w:rsid w:val="007D62A9"/>
    <w:rsid w:val="007D688E"/>
    <w:rsid w:val="007E0929"/>
    <w:rsid w:val="007E49F2"/>
    <w:rsid w:val="007E66B5"/>
    <w:rsid w:val="007E7A39"/>
    <w:rsid w:val="007F045F"/>
    <w:rsid w:val="007F0657"/>
    <w:rsid w:val="007F138C"/>
    <w:rsid w:val="007F31C9"/>
    <w:rsid w:val="007F5192"/>
    <w:rsid w:val="007F6B0F"/>
    <w:rsid w:val="007F7192"/>
    <w:rsid w:val="007F7D7E"/>
    <w:rsid w:val="00800A45"/>
    <w:rsid w:val="008018CB"/>
    <w:rsid w:val="00802563"/>
    <w:rsid w:val="00805700"/>
    <w:rsid w:val="00806763"/>
    <w:rsid w:val="008107E3"/>
    <w:rsid w:val="0081214E"/>
    <w:rsid w:val="00817CEF"/>
    <w:rsid w:val="008211CB"/>
    <w:rsid w:val="00823442"/>
    <w:rsid w:val="00823F3A"/>
    <w:rsid w:val="0082447D"/>
    <w:rsid w:val="0083074C"/>
    <w:rsid w:val="00830BA5"/>
    <w:rsid w:val="00831CE2"/>
    <w:rsid w:val="00832E17"/>
    <w:rsid w:val="00834B70"/>
    <w:rsid w:val="00836BA9"/>
    <w:rsid w:val="00842607"/>
    <w:rsid w:val="008521B9"/>
    <w:rsid w:val="008521BF"/>
    <w:rsid w:val="00855D6E"/>
    <w:rsid w:val="00855ED0"/>
    <w:rsid w:val="00857837"/>
    <w:rsid w:val="0086055C"/>
    <w:rsid w:val="00861D72"/>
    <w:rsid w:val="00863411"/>
    <w:rsid w:val="00863760"/>
    <w:rsid w:val="00866264"/>
    <w:rsid w:val="00871501"/>
    <w:rsid w:val="008869CF"/>
    <w:rsid w:val="00894368"/>
    <w:rsid w:val="0089484A"/>
    <w:rsid w:val="00894D5F"/>
    <w:rsid w:val="00897681"/>
    <w:rsid w:val="008A03E5"/>
    <w:rsid w:val="008A1D0C"/>
    <w:rsid w:val="008A2191"/>
    <w:rsid w:val="008B0EB5"/>
    <w:rsid w:val="008B2D32"/>
    <w:rsid w:val="008B4C14"/>
    <w:rsid w:val="008B5FB5"/>
    <w:rsid w:val="008C05B1"/>
    <w:rsid w:val="008C34FF"/>
    <w:rsid w:val="008C3BC4"/>
    <w:rsid w:val="008C5486"/>
    <w:rsid w:val="008C6D83"/>
    <w:rsid w:val="008D1235"/>
    <w:rsid w:val="008D4867"/>
    <w:rsid w:val="008D626E"/>
    <w:rsid w:val="008E1E97"/>
    <w:rsid w:val="008E265D"/>
    <w:rsid w:val="008E2ECB"/>
    <w:rsid w:val="008E3728"/>
    <w:rsid w:val="008F1C30"/>
    <w:rsid w:val="008F3825"/>
    <w:rsid w:val="009003E9"/>
    <w:rsid w:val="009047B2"/>
    <w:rsid w:val="00905ED1"/>
    <w:rsid w:val="0091271A"/>
    <w:rsid w:val="00912D8E"/>
    <w:rsid w:val="00917BF1"/>
    <w:rsid w:val="0092392B"/>
    <w:rsid w:val="009265A7"/>
    <w:rsid w:val="00930F4D"/>
    <w:rsid w:val="0093321E"/>
    <w:rsid w:val="0093392D"/>
    <w:rsid w:val="00936727"/>
    <w:rsid w:val="00940DCC"/>
    <w:rsid w:val="00941296"/>
    <w:rsid w:val="00944213"/>
    <w:rsid w:val="009446C0"/>
    <w:rsid w:val="00945688"/>
    <w:rsid w:val="0094612C"/>
    <w:rsid w:val="00950DDB"/>
    <w:rsid w:val="00955889"/>
    <w:rsid w:val="00961851"/>
    <w:rsid w:val="00964506"/>
    <w:rsid w:val="00970653"/>
    <w:rsid w:val="0097598E"/>
    <w:rsid w:val="009777FF"/>
    <w:rsid w:val="00977FB5"/>
    <w:rsid w:val="009837AE"/>
    <w:rsid w:val="00983AF4"/>
    <w:rsid w:val="0098487A"/>
    <w:rsid w:val="00984F93"/>
    <w:rsid w:val="00986222"/>
    <w:rsid w:val="00987EF7"/>
    <w:rsid w:val="00991D4E"/>
    <w:rsid w:val="00993C8E"/>
    <w:rsid w:val="00995F45"/>
    <w:rsid w:val="0099651C"/>
    <w:rsid w:val="00997EC4"/>
    <w:rsid w:val="009A4902"/>
    <w:rsid w:val="009A58B8"/>
    <w:rsid w:val="009A5D4A"/>
    <w:rsid w:val="009B279E"/>
    <w:rsid w:val="009B2A21"/>
    <w:rsid w:val="009B60E0"/>
    <w:rsid w:val="009B6D95"/>
    <w:rsid w:val="009B772C"/>
    <w:rsid w:val="009B7C85"/>
    <w:rsid w:val="009C09E9"/>
    <w:rsid w:val="009C0F87"/>
    <w:rsid w:val="009C1C6C"/>
    <w:rsid w:val="009C2580"/>
    <w:rsid w:val="009C3D43"/>
    <w:rsid w:val="009C4F30"/>
    <w:rsid w:val="009C646C"/>
    <w:rsid w:val="009D0D4A"/>
    <w:rsid w:val="009D6DE1"/>
    <w:rsid w:val="009D7C32"/>
    <w:rsid w:val="009E16C5"/>
    <w:rsid w:val="009E40B1"/>
    <w:rsid w:val="009E5A75"/>
    <w:rsid w:val="009F1BA1"/>
    <w:rsid w:val="009F248F"/>
    <w:rsid w:val="009F67A7"/>
    <w:rsid w:val="00A0334F"/>
    <w:rsid w:val="00A03E35"/>
    <w:rsid w:val="00A074F3"/>
    <w:rsid w:val="00A07DA0"/>
    <w:rsid w:val="00A10747"/>
    <w:rsid w:val="00A10D70"/>
    <w:rsid w:val="00A12EDE"/>
    <w:rsid w:val="00A14796"/>
    <w:rsid w:val="00A22802"/>
    <w:rsid w:val="00A25A68"/>
    <w:rsid w:val="00A30535"/>
    <w:rsid w:val="00A306C1"/>
    <w:rsid w:val="00A334A7"/>
    <w:rsid w:val="00A335AA"/>
    <w:rsid w:val="00A33F89"/>
    <w:rsid w:val="00A3680B"/>
    <w:rsid w:val="00A40D18"/>
    <w:rsid w:val="00A449D2"/>
    <w:rsid w:val="00A463A6"/>
    <w:rsid w:val="00A51720"/>
    <w:rsid w:val="00A53EC5"/>
    <w:rsid w:val="00A54D14"/>
    <w:rsid w:val="00A555E2"/>
    <w:rsid w:val="00A56D9F"/>
    <w:rsid w:val="00A57236"/>
    <w:rsid w:val="00A6017A"/>
    <w:rsid w:val="00A6167B"/>
    <w:rsid w:val="00A63311"/>
    <w:rsid w:val="00A6366E"/>
    <w:rsid w:val="00A70F9C"/>
    <w:rsid w:val="00A723F3"/>
    <w:rsid w:val="00A77464"/>
    <w:rsid w:val="00A803B9"/>
    <w:rsid w:val="00A83281"/>
    <w:rsid w:val="00A83C69"/>
    <w:rsid w:val="00A8725D"/>
    <w:rsid w:val="00A916D7"/>
    <w:rsid w:val="00A916E0"/>
    <w:rsid w:val="00A91C75"/>
    <w:rsid w:val="00A927AE"/>
    <w:rsid w:val="00A9282B"/>
    <w:rsid w:val="00A95942"/>
    <w:rsid w:val="00A96A19"/>
    <w:rsid w:val="00AA2662"/>
    <w:rsid w:val="00AA3114"/>
    <w:rsid w:val="00AA33A8"/>
    <w:rsid w:val="00AA472F"/>
    <w:rsid w:val="00AA517C"/>
    <w:rsid w:val="00AB0048"/>
    <w:rsid w:val="00AB06F6"/>
    <w:rsid w:val="00AB0D16"/>
    <w:rsid w:val="00AB0F46"/>
    <w:rsid w:val="00AB1C50"/>
    <w:rsid w:val="00AB6396"/>
    <w:rsid w:val="00AB6B9C"/>
    <w:rsid w:val="00AC1A3E"/>
    <w:rsid w:val="00AC22FD"/>
    <w:rsid w:val="00AC33EC"/>
    <w:rsid w:val="00AC3959"/>
    <w:rsid w:val="00AC492E"/>
    <w:rsid w:val="00AC50CD"/>
    <w:rsid w:val="00AD01C0"/>
    <w:rsid w:val="00AD06E3"/>
    <w:rsid w:val="00AD12F1"/>
    <w:rsid w:val="00AD1B1E"/>
    <w:rsid w:val="00AD285C"/>
    <w:rsid w:val="00AD416B"/>
    <w:rsid w:val="00AD48A5"/>
    <w:rsid w:val="00AD54BF"/>
    <w:rsid w:val="00AD5876"/>
    <w:rsid w:val="00AD7AE3"/>
    <w:rsid w:val="00AE5854"/>
    <w:rsid w:val="00AE5DF8"/>
    <w:rsid w:val="00AE68CB"/>
    <w:rsid w:val="00AF31B2"/>
    <w:rsid w:val="00AF3DF6"/>
    <w:rsid w:val="00AF62FE"/>
    <w:rsid w:val="00B0068D"/>
    <w:rsid w:val="00B02E24"/>
    <w:rsid w:val="00B03E25"/>
    <w:rsid w:val="00B04516"/>
    <w:rsid w:val="00B049A2"/>
    <w:rsid w:val="00B06B0A"/>
    <w:rsid w:val="00B06F25"/>
    <w:rsid w:val="00B1105D"/>
    <w:rsid w:val="00B1149C"/>
    <w:rsid w:val="00B11549"/>
    <w:rsid w:val="00B1271B"/>
    <w:rsid w:val="00B1495F"/>
    <w:rsid w:val="00B14C5D"/>
    <w:rsid w:val="00B17B48"/>
    <w:rsid w:val="00B17C39"/>
    <w:rsid w:val="00B230F0"/>
    <w:rsid w:val="00B2348B"/>
    <w:rsid w:val="00B25629"/>
    <w:rsid w:val="00B2743C"/>
    <w:rsid w:val="00B276BD"/>
    <w:rsid w:val="00B31808"/>
    <w:rsid w:val="00B367BF"/>
    <w:rsid w:val="00B37660"/>
    <w:rsid w:val="00B42605"/>
    <w:rsid w:val="00B44665"/>
    <w:rsid w:val="00B4713E"/>
    <w:rsid w:val="00B4763B"/>
    <w:rsid w:val="00B54B5B"/>
    <w:rsid w:val="00B62EA3"/>
    <w:rsid w:val="00B63F28"/>
    <w:rsid w:val="00B64F0F"/>
    <w:rsid w:val="00B66087"/>
    <w:rsid w:val="00B672C1"/>
    <w:rsid w:val="00B67A0E"/>
    <w:rsid w:val="00B67CDF"/>
    <w:rsid w:val="00B70666"/>
    <w:rsid w:val="00B70D22"/>
    <w:rsid w:val="00B753E9"/>
    <w:rsid w:val="00B76C69"/>
    <w:rsid w:val="00B8096F"/>
    <w:rsid w:val="00B80D0E"/>
    <w:rsid w:val="00B82D07"/>
    <w:rsid w:val="00B82F95"/>
    <w:rsid w:val="00B83106"/>
    <w:rsid w:val="00B8514C"/>
    <w:rsid w:val="00B92972"/>
    <w:rsid w:val="00B92BE5"/>
    <w:rsid w:val="00B94588"/>
    <w:rsid w:val="00B974A7"/>
    <w:rsid w:val="00BA0BE6"/>
    <w:rsid w:val="00BA3ED1"/>
    <w:rsid w:val="00BA444D"/>
    <w:rsid w:val="00BA549A"/>
    <w:rsid w:val="00BB2863"/>
    <w:rsid w:val="00BB7681"/>
    <w:rsid w:val="00BC1D1B"/>
    <w:rsid w:val="00BC51FF"/>
    <w:rsid w:val="00BC7767"/>
    <w:rsid w:val="00BC7D64"/>
    <w:rsid w:val="00BD2A5F"/>
    <w:rsid w:val="00BD7127"/>
    <w:rsid w:val="00BE03BF"/>
    <w:rsid w:val="00BE06EF"/>
    <w:rsid w:val="00BE23DB"/>
    <w:rsid w:val="00BE43C1"/>
    <w:rsid w:val="00BE58A6"/>
    <w:rsid w:val="00BE67D2"/>
    <w:rsid w:val="00BF1EE4"/>
    <w:rsid w:val="00BF46E6"/>
    <w:rsid w:val="00BF51E5"/>
    <w:rsid w:val="00C010A4"/>
    <w:rsid w:val="00C020FF"/>
    <w:rsid w:val="00C03A05"/>
    <w:rsid w:val="00C04297"/>
    <w:rsid w:val="00C04C8C"/>
    <w:rsid w:val="00C0657F"/>
    <w:rsid w:val="00C1098A"/>
    <w:rsid w:val="00C12CF1"/>
    <w:rsid w:val="00C162B1"/>
    <w:rsid w:val="00C20BD1"/>
    <w:rsid w:val="00C264C8"/>
    <w:rsid w:val="00C26ABE"/>
    <w:rsid w:val="00C325F1"/>
    <w:rsid w:val="00C33E7F"/>
    <w:rsid w:val="00C3540C"/>
    <w:rsid w:val="00C3590A"/>
    <w:rsid w:val="00C35DA6"/>
    <w:rsid w:val="00C3668B"/>
    <w:rsid w:val="00C4031D"/>
    <w:rsid w:val="00C4060C"/>
    <w:rsid w:val="00C43ADC"/>
    <w:rsid w:val="00C45B25"/>
    <w:rsid w:val="00C47EE1"/>
    <w:rsid w:val="00C547EE"/>
    <w:rsid w:val="00C54F8C"/>
    <w:rsid w:val="00C5540D"/>
    <w:rsid w:val="00C55AA7"/>
    <w:rsid w:val="00C604F7"/>
    <w:rsid w:val="00C61710"/>
    <w:rsid w:val="00C628D1"/>
    <w:rsid w:val="00C65ACB"/>
    <w:rsid w:val="00C67CCC"/>
    <w:rsid w:val="00C67F79"/>
    <w:rsid w:val="00C75AAC"/>
    <w:rsid w:val="00C81701"/>
    <w:rsid w:val="00C8344D"/>
    <w:rsid w:val="00C845F3"/>
    <w:rsid w:val="00C84894"/>
    <w:rsid w:val="00C85B2A"/>
    <w:rsid w:val="00C8771B"/>
    <w:rsid w:val="00C933AC"/>
    <w:rsid w:val="00C93B92"/>
    <w:rsid w:val="00C96C27"/>
    <w:rsid w:val="00C97E7B"/>
    <w:rsid w:val="00CA1B9D"/>
    <w:rsid w:val="00CA1D4D"/>
    <w:rsid w:val="00CA3B64"/>
    <w:rsid w:val="00CA4CCE"/>
    <w:rsid w:val="00CB0997"/>
    <w:rsid w:val="00CB605F"/>
    <w:rsid w:val="00CB6C06"/>
    <w:rsid w:val="00CB7D89"/>
    <w:rsid w:val="00CC2337"/>
    <w:rsid w:val="00CC2E5D"/>
    <w:rsid w:val="00CC2F93"/>
    <w:rsid w:val="00CC455A"/>
    <w:rsid w:val="00CD2374"/>
    <w:rsid w:val="00CD75A1"/>
    <w:rsid w:val="00CE0BFE"/>
    <w:rsid w:val="00CE159C"/>
    <w:rsid w:val="00CE2611"/>
    <w:rsid w:val="00CE5326"/>
    <w:rsid w:val="00CE7C12"/>
    <w:rsid w:val="00CF04FD"/>
    <w:rsid w:val="00CF6328"/>
    <w:rsid w:val="00CF665C"/>
    <w:rsid w:val="00CF7B65"/>
    <w:rsid w:val="00D011BF"/>
    <w:rsid w:val="00D03F13"/>
    <w:rsid w:val="00D04243"/>
    <w:rsid w:val="00D04E11"/>
    <w:rsid w:val="00D072AA"/>
    <w:rsid w:val="00D1283C"/>
    <w:rsid w:val="00D1488C"/>
    <w:rsid w:val="00D22EFF"/>
    <w:rsid w:val="00D23157"/>
    <w:rsid w:val="00D23BF6"/>
    <w:rsid w:val="00D3088F"/>
    <w:rsid w:val="00D30F13"/>
    <w:rsid w:val="00D33243"/>
    <w:rsid w:val="00D33CE1"/>
    <w:rsid w:val="00D346DF"/>
    <w:rsid w:val="00D37115"/>
    <w:rsid w:val="00D46515"/>
    <w:rsid w:val="00D46634"/>
    <w:rsid w:val="00D51267"/>
    <w:rsid w:val="00D5189E"/>
    <w:rsid w:val="00D555CE"/>
    <w:rsid w:val="00D5566E"/>
    <w:rsid w:val="00D5668E"/>
    <w:rsid w:val="00D56882"/>
    <w:rsid w:val="00D6141A"/>
    <w:rsid w:val="00D61913"/>
    <w:rsid w:val="00D621F3"/>
    <w:rsid w:val="00D6376B"/>
    <w:rsid w:val="00D64043"/>
    <w:rsid w:val="00D73312"/>
    <w:rsid w:val="00D739DC"/>
    <w:rsid w:val="00D7440E"/>
    <w:rsid w:val="00D76637"/>
    <w:rsid w:val="00D80A54"/>
    <w:rsid w:val="00D80ACB"/>
    <w:rsid w:val="00D80D26"/>
    <w:rsid w:val="00D81FC1"/>
    <w:rsid w:val="00D8390A"/>
    <w:rsid w:val="00D83FA8"/>
    <w:rsid w:val="00D8691E"/>
    <w:rsid w:val="00D92463"/>
    <w:rsid w:val="00D93025"/>
    <w:rsid w:val="00D95045"/>
    <w:rsid w:val="00D9762B"/>
    <w:rsid w:val="00DA267C"/>
    <w:rsid w:val="00DA38B2"/>
    <w:rsid w:val="00DA3D57"/>
    <w:rsid w:val="00DA6623"/>
    <w:rsid w:val="00DA725B"/>
    <w:rsid w:val="00DA79A6"/>
    <w:rsid w:val="00DB03D5"/>
    <w:rsid w:val="00DB0BE3"/>
    <w:rsid w:val="00DB1C88"/>
    <w:rsid w:val="00DB36FA"/>
    <w:rsid w:val="00DB55CE"/>
    <w:rsid w:val="00DB7549"/>
    <w:rsid w:val="00DC1605"/>
    <w:rsid w:val="00DC1C51"/>
    <w:rsid w:val="00DC41BE"/>
    <w:rsid w:val="00DD2601"/>
    <w:rsid w:val="00DD5239"/>
    <w:rsid w:val="00DD5EEC"/>
    <w:rsid w:val="00DE0B65"/>
    <w:rsid w:val="00DE2FB6"/>
    <w:rsid w:val="00DE2FF1"/>
    <w:rsid w:val="00DE4A94"/>
    <w:rsid w:val="00DE4C93"/>
    <w:rsid w:val="00DE6EA6"/>
    <w:rsid w:val="00DE7722"/>
    <w:rsid w:val="00DF3D7B"/>
    <w:rsid w:val="00DF4145"/>
    <w:rsid w:val="00DF46BC"/>
    <w:rsid w:val="00DF4D75"/>
    <w:rsid w:val="00DF5131"/>
    <w:rsid w:val="00DF6C2C"/>
    <w:rsid w:val="00E03212"/>
    <w:rsid w:val="00E05D2E"/>
    <w:rsid w:val="00E064BF"/>
    <w:rsid w:val="00E15B6A"/>
    <w:rsid w:val="00E214C2"/>
    <w:rsid w:val="00E22959"/>
    <w:rsid w:val="00E24978"/>
    <w:rsid w:val="00E25F03"/>
    <w:rsid w:val="00E2727F"/>
    <w:rsid w:val="00E309E0"/>
    <w:rsid w:val="00E3269D"/>
    <w:rsid w:val="00E32C0A"/>
    <w:rsid w:val="00E34596"/>
    <w:rsid w:val="00E35E81"/>
    <w:rsid w:val="00E36CE2"/>
    <w:rsid w:val="00E40DC5"/>
    <w:rsid w:val="00E41BA3"/>
    <w:rsid w:val="00E46108"/>
    <w:rsid w:val="00E46FA4"/>
    <w:rsid w:val="00E507D6"/>
    <w:rsid w:val="00E51261"/>
    <w:rsid w:val="00E53118"/>
    <w:rsid w:val="00E561EF"/>
    <w:rsid w:val="00E62E11"/>
    <w:rsid w:val="00E63332"/>
    <w:rsid w:val="00E701BB"/>
    <w:rsid w:val="00E709E0"/>
    <w:rsid w:val="00E71171"/>
    <w:rsid w:val="00E73239"/>
    <w:rsid w:val="00E737B5"/>
    <w:rsid w:val="00E8336C"/>
    <w:rsid w:val="00E85CBC"/>
    <w:rsid w:val="00E8637C"/>
    <w:rsid w:val="00E86ADC"/>
    <w:rsid w:val="00E90BDB"/>
    <w:rsid w:val="00E94F19"/>
    <w:rsid w:val="00E95DA1"/>
    <w:rsid w:val="00E971EB"/>
    <w:rsid w:val="00E9780D"/>
    <w:rsid w:val="00EA1796"/>
    <w:rsid w:val="00EA20ED"/>
    <w:rsid w:val="00EA564F"/>
    <w:rsid w:val="00EA5E56"/>
    <w:rsid w:val="00EB0333"/>
    <w:rsid w:val="00EB37D5"/>
    <w:rsid w:val="00EB582C"/>
    <w:rsid w:val="00EB5AC5"/>
    <w:rsid w:val="00EB798E"/>
    <w:rsid w:val="00EC32A2"/>
    <w:rsid w:val="00EC3464"/>
    <w:rsid w:val="00EC4379"/>
    <w:rsid w:val="00EC522F"/>
    <w:rsid w:val="00ED3D31"/>
    <w:rsid w:val="00ED3EEB"/>
    <w:rsid w:val="00ED5027"/>
    <w:rsid w:val="00ED6476"/>
    <w:rsid w:val="00ED7A92"/>
    <w:rsid w:val="00EE1602"/>
    <w:rsid w:val="00EE1F24"/>
    <w:rsid w:val="00EE282C"/>
    <w:rsid w:val="00EE3A32"/>
    <w:rsid w:val="00EE5C85"/>
    <w:rsid w:val="00EE63DE"/>
    <w:rsid w:val="00EE7237"/>
    <w:rsid w:val="00EF153F"/>
    <w:rsid w:val="00EF1BC9"/>
    <w:rsid w:val="00EF3FDB"/>
    <w:rsid w:val="00EF589B"/>
    <w:rsid w:val="00EF5B26"/>
    <w:rsid w:val="00EF607C"/>
    <w:rsid w:val="00EF74A8"/>
    <w:rsid w:val="00F0085A"/>
    <w:rsid w:val="00F02789"/>
    <w:rsid w:val="00F06EC0"/>
    <w:rsid w:val="00F1001F"/>
    <w:rsid w:val="00F1589F"/>
    <w:rsid w:val="00F16C9A"/>
    <w:rsid w:val="00F16D25"/>
    <w:rsid w:val="00F1738E"/>
    <w:rsid w:val="00F213B0"/>
    <w:rsid w:val="00F222FA"/>
    <w:rsid w:val="00F264CD"/>
    <w:rsid w:val="00F27637"/>
    <w:rsid w:val="00F276DB"/>
    <w:rsid w:val="00F3240B"/>
    <w:rsid w:val="00F3646C"/>
    <w:rsid w:val="00F41126"/>
    <w:rsid w:val="00F424A1"/>
    <w:rsid w:val="00F43B46"/>
    <w:rsid w:val="00F45F78"/>
    <w:rsid w:val="00F50B72"/>
    <w:rsid w:val="00F50CED"/>
    <w:rsid w:val="00F54275"/>
    <w:rsid w:val="00F56AC2"/>
    <w:rsid w:val="00F63D87"/>
    <w:rsid w:val="00F64470"/>
    <w:rsid w:val="00F64487"/>
    <w:rsid w:val="00F64800"/>
    <w:rsid w:val="00F65789"/>
    <w:rsid w:val="00F713F5"/>
    <w:rsid w:val="00F7171C"/>
    <w:rsid w:val="00F73028"/>
    <w:rsid w:val="00F73CF9"/>
    <w:rsid w:val="00F744E9"/>
    <w:rsid w:val="00F74BE8"/>
    <w:rsid w:val="00F7557D"/>
    <w:rsid w:val="00F75C2B"/>
    <w:rsid w:val="00F76221"/>
    <w:rsid w:val="00F777B5"/>
    <w:rsid w:val="00F806DB"/>
    <w:rsid w:val="00F80E06"/>
    <w:rsid w:val="00F84465"/>
    <w:rsid w:val="00F84C9B"/>
    <w:rsid w:val="00F85F47"/>
    <w:rsid w:val="00F87773"/>
    <w:rsid w:val="00F91BFB"/>
    <w:rsid w:val="00F92E47"/>
    <w:rsid w:val="00F93FCA"/>
    <w:rsid w:val="00F9445C"/>
    <w:rsid w:val="00F959F7"/>
    <w:rsid w:val="00F97C71"/>
    <w:rsid w:val="00FA046D"/>
    <w:rsid w:val="00FA414D"/>
    <w:rsid w:val="00FA76A1"/>
    <w:rsid w:val="00FB0850"/>
    <w:rsid w:val="00FB1FE4"/>
    <w:rsid w:val="00FB295D"/>
    <w:rsid w:val="00FB450E"/>
    <w:rsid w:val="00FB4EAC"/>
    <w:rsid w:val="00FB7BF1"/>
    <w:rsid w:val="00FC2867"/>
    <w:rsid w:val="00FD26CF"/>
    <w:rsid w:val="00FD290C"/>
    <w:rsid w:val="00FD5992"/>
    <w:rsid w:val="00FD6087"/>
    <w:rsid w:val="00FD7EAF"/>
    <w:rsid w:val="00FE2215"/>
    <w:rsid w:val="00FE23EE"/>
    <w:rsid w:val="00FE29DF"/>
    <w:rsid w:val="00FE3664"/>
    <w:rsid w:val="00FE5E66"/>
    <w:rsid w:val="00FE73EE"/>
    <w:rsid w:val="00FF078A"/>
    <w:rsid w:val="00FF1F44"/>
    <w:rsid w:val="00FF2CBA"/>
    <w:rsid w:val="00FF3428"/>
    <w:rsid w:val="00FF5FF1"/>
    <w:rsid w:val="00FF6D26"/>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A6209"/>
  <w15:docId w15:val="{23A22EC3-9443-DF44-9D11-DA05F69E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07DB"/>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6532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6532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65327F"/>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41D9"/>
    <w:pPr>
      <w:tabs>
        <w:tab w:val="center" w:pos="4536"/>
        <w:tab w:val="right" w:pos="9072"/>
      </w:tabs>
    </w:pPr>
  </w:style>
  <w:style w:type="character" w:customStyle="1" w:styleId="KopfzeileZchn">
    <w:name w:val="Kopfzeile Zchn"/>
    <w:basedOn w:val="Absatz-Standardschriftart"/>
    <w:link w:val="Kopfzeile"/>
    <w:uiPriority w:val="99"/>
    <w:rsid w:val="005541D9"/>
  </w:style>
  <w:style w:type="paragraph" w:styleId="Fuzeile">
    <w:name w:val="footer"/>
    <w:basedOn w:val="Standard"/>
    <w:link w:val="FuzeileZchn"/>
    <w:uiPriority w:val="99"/>
    <w:unhideWhenUsed/>
    <w:rsid w:val="005541D9"/>
    <w:pPr>
      <w:tabs>
        <w:tab w:val="center" w:pos="4536"/>
        <w:tab w:val="right" w:pos="9072"/>
      </w:tabs>
    </w:pPr>
  </w:style>
  <w:style w:type="character" w:customStyle="1" w:styleId="FuzeileZchn">
    <w:name w:val="Fußzeile Zchn"/>
    <w:basedOn w:val="Absatz-Standardschriftart"/>
    <w:link w:val="Fuzeile"/>
    <w:uiPriority w:val="99"/>
    <w:rsid w:val="005541D9"/>
  </w:style>
  <w:style w:type="paragraph" w:styleId="Funotentext">
    <w:name w:val="footnote text"/>
    <w:aliases w:val="Fußnotentext ECHR"/>
    <w:basedOn w:val="Standard"/>
    <w:link w:val="FunotentextZchn"/>
    <w:autoRedefine/>
    <w:unhideWhenUsed/>
    <w:qFormat/>
    <w:rsid w:val="003B167B"/>
    <w:rPr>
      <w:rFonts w:asciiTheme="majorBidi" w:hAnsiTheme="majorBidi"/>
      <w:sz w:val="20"/>
      <w:szCs w:val="20"/>
    </w:rPr>
  </w:style>
  <w:style w:type="character" w:customStyle="1" w:styleId="FunotentextZchn">
    <w:name w:val="Fußnotentext Zchn"/>
    <w:aliases w:val="Fußnotentext ECHR Zchn"/>
    <w:link w:val="Funotentext"/>
    <w:rsid w:val="003B167B"/>
    <w:rPr>
      <w:rFonts w:asciiTheme="majorBidi" w:hAnsiTheme="majorBidi"/>
      <w:lang w:eastAsia="en-US"/>
    </w:rPr>
  </w:style>
  <w:style w:type="character" w:styleId="Funotenzeichen">
    <w:name w:val="footnote reference"/>
    <w:unhideWhenUsed/>
    <w:rsid w:val="00FA76A1"/>
    <w:rPr>
      <w:vertAlign w:val="superscript"/>
    </w:rPr>
  </w:style>
  <w:style w:type="character" w:customStyle="1" w:styleId="Absatz-Standardschriftart1">
    <w:name w:val="Absatz-Standardschriftart1"/>
    <w:rsid w:val="00F9445C"/>
  </w:style>
  <w:style w:type="character" w:styleId="Hyperlink">
    <w:name w:val="Hyperlink"/>
    <w:uiPriority w:val="99"/>
    <w:qFormat/>
    <w:rsid w:val="00256289"/>
    <w:rPr>
      <w:color w:val="0000FF"/>
      <w:u w:val="single"/>
    </w:rPr>
  </w:style>
  <w:style w:type="character" w:customStyle="1" w:styleId="Funotenzeichen1">
    <w:name w:val="Fußnotenzeichen1"/>
    <w:rsid w:val="00F9445C"/>
  </w:style>
  <w:style w:type="character" w:customStyle="1" w:styleId="Funotenzeichen2">
    <w:name w:val="Fußnotenzeichen2"/>
    <w:qFormat/>
    <w:rsid w:val="00F9445C"/>
    <w:rPr>
      <w:sz w:val="18"/>
      <w:vertAlign w:val="baseline"/>
    </w:rPr>
  </w:style>
  <w:style w:type="character" w:customStyle="1" w:styleId="Funotenzeichen3">
    <w:name w:val="Fußnotenzeichen3"/>
    <w:rsid w:val="00F9445C"/>
    <w:rPr>
      <w:vertAlign w:val="superscript"/>
    </w:rPr>
  </w:style>
  <w:style w:type="paragraph" w:customStyle="1" w:styleId="absatzschattenbericht">
    <w:name w:val="absatz schattenbericht"/>
    <w:basedOn w:val="Standard"/>
    <w:rsid w:val="00F9445C"/>
    <w:pPr>
      <w:widowControl w:val="0"/>
      <w:suppressAutoHyphens/>
      <w:autoSpaceDE w:val="0"/>
      <w:spacing w:after="113" w:line="288" w:lineRule="auto"/>
      <w:jc w:val="both"/>
      <w:textAlignment w:val="center"/>
    </w:pPr>
    <w:rPr>
      <w:rFonts w:eastAsia="Baskerville" w:cs="Baskerville"/>
      <w:color w:val="000000"/>
      <w:spacing w:val="2"/>
      <w:kern w:val="1"/>
      <w:lang w:val="en-US" w:bidi="hi-IN"/>
    </w:rPr>
  </w:style>
  <w:style w:type="paragraph" w:customStyle="1" w:styleId="Title1">
    <w:name w:val="Title 1"/>
    <w:basedOn w:val="Standard"/>
    <w:rsid w:val="000F0E17"/>
    <w:pPr>
      <w:widowControl w:val="0"/>
      <w:suppressLineNumbers/>
      <w:suppressAutoHyphens/>
      <w:spacing w:before="120" w:after="120"/>
    </w:pPr>
    <w:rPr>
      <w:rFonts w:ascii="Arial" w:eastAsia="Helvetica-Bold" w:hAnsi="Arial" w:cs="Helvetica-Bold"/>
      <w:b/>
      <w:bCs/>
      <w:iCs/>
      <w:color w:val="5E175E"/>
      <w:spacing w:val="3"/>
      <w:kern w:val="1"/>
      <w:sz w:val="28"/>
      <w:szCs w:val="28"/>
      <w:lang w:val="de-DE" w:bidi="hi-IN"/>
    </w:rPr>
  </w:style>
  <w:style w:type="paragraph" w:customStyle="1" w:styleId="Title2">
    <w:name w:val="Title 2"/>
    <w:basedOn w:val="Standard"/>
    <w:rsid w:val="00F9445C"/>
    <w:pPr>
      <w:widowControl w:val="0"/>
      <w:suppressLineNumbers/>
      <w:suppressAutoHyphens/>
      <w:autoSpaceDE w:val="0"/>
      <w:spacing w:after="113" w:line="288" w:lineRule="atLeast"/>
      <w:textAlignment w:val="center"/>
    </w:pPr>
    <w:rPr>
      <w:rFonts w:ascii="Arial" w:eastAsia="Helvetica-Bold" w:hAnsi="Arial" w:cs="Arial"/>
      <w:b/>
      <w:bCs/>
      <w:iCs/>
      <w:color w:val="5E175E"/>
      <w:spacing w:val="2"/>
      <w:kern w:val="1"/>
      <w:szCs w:val="28"/>
      <w:lang w:val="en-GB" w:bidi="hi-IN"/>
    </w:rPr>
  </w:style>
  <w:style w:type="paragraph" w:customStyle="1" w:styleId="Title3">
    <w:name w:val="Title 3"/>
    <w:basedOn w:val="Title2"/>
    <w:rsid w:val="00F9445C"/>
    <w:pPr>
      <w:spacing w:before="28" w:after="85"/>
    </w:pPr>
    <w:rPr>
      <w:color w:val="232657"/>
      <w:szCs w:val="24"/>
    </w:rPr>
  </w:style>
  <w:style w:type="character" w:customStyle="1" w:styleId="FootnoteSymbol">
    <w:name w:val="Footnote Symbol"/>
    <w:rsid w:val="004F673C"/>
    <w:rPr>
      <w:rFonts w:ascii="Times New Roman" w:hAnsi="Times New Roman"/>
      <w:sz w:val="20"/>
    </w:rPr>
  </w:style>
  <w:style w:type="character" w:styleId="BesuchterLink">
    <w:name w:val="FollowedHyperlink"/>
    <w:rsid w:val="004F673C"/>
    <w:rPr>
      <w:color w:val="0070C0"/>
      <w:u w:val="single"/>
    </w:rPr>
  </w:style>
  <w:style w:type="paragraph" w:customStyle="1" w:styleId="fussnoteschattenbericht">
    <w:name w:val="fussnote schattenbericht"/>
    <w:basedOn w:val="Standard"/>
    <w:autoRedefine/>
    <w:rsid w:val="004958ED"/>
    <w:pPr>
      <w:widowControl w:val="0"/>
      <w:suppressAutoHyphens/>
      <w:autoSpaceDE w:val="0"/>
      <w:spacing w:line="264" w:lineRule="auto"/>
      <w:ind w:left="454" w:hanging="448"/>
      <w:textAlignment w:val="center"/>
    </w:pPr>
    <w:rPr>
      <w:rFonts w:eastAsia="Baskerville"/>
      <w:color w:val="000000"/>
      <w:spacing w:val="2"/>
      <w:kern w:val="1"/>
      <w:sz w:val="20"/>
      <w:szCs w:val="20"/>
      <w:lang w:val="en-GB" w:bidi="hi-IN"/>
    </w:rPr>
  </w:style>
  <w:style w:type="paragraph" w:styleId="Kommentartext">
    <w:name w:val="annotation text"/>
    <w:basedOn w:val="Standard"/>
    <w:link w:val="KommentartextZchn"/>
    <w:uiPriority w:val="99"/>
    <w:semiHidden/>
    <w:unhideWhenUsed/>
    <w:rsid w:val="00740065"/>
  </w:style>
  <w:style w:type="paragraph" w:customStyle="1" w:styleId="AbsatzConcludingObs">
    <w:name w:val="Absatz Concluding Obs"/>
    <w:basedOn w:val="absatzschattenbericht"/>
    <w:qFormat/>
    <w:rsid w:val="00F3646C"/>
    <w:pPr>
      <w:tabs>
        <w:tab w:val="left" w:pos="567"/>
        <w:tab w:val="left" w:pos="1134"/>
      </w:tabs>
    </w:pPr>
    <w:rPr>
      <w:i/>
      <w:iCs/>
      <w:lang w:val="fr-FR"/>
    </w:rPr>
  </w:style>
  <w:style w:type="character" w:customStyle="1" w:styleId="KommentartextZchn">
    <w:name w:val="Kommentartext Zchn"/>
    <w:link w:val="Kommentartext"/>
    <w:uiPriority w:val="99"/>
    <w:semiHidden/>
    <w:rsid w:val="00740065"/>
    <w:rPr>
      <w:sz w:val="24"/>
      <w:szCs w:val="24"/>
      <w:lang w:val="de-CH" w:eastAsia="en-US"/>
    </w:rPr>
  </w:style>
  <w:style w:type="paragraph" w:styleId="Kommentarthema">
    <w:name w:val="annotation subject"/>
    <w:basedOn w:val="Kommentartext"/>
    <w:next w:val="Kommentartext"/>
    <w:link w:val="KommentarthemaZchn"/>
    <w:uiPriority w:val="99"/>
    <w:semiHidden/>
    <w:unhideWhenUsed/>
    <w:rsid w:val="00740065"/>
    <w:pPr>
      <w:suppressAutoHyphens/>
    </w:pPr>
    <w:rPr>
      <w:rFonts w:eastAsia="SimSun"/>
      <w:b/>
      <w:bCs/>
      <w:sz w:val="20"/>
      <w:szCs w:val="20"/>
      <w:lang w:val="fr-CH"/>
    </w:rPr>
  </w:style>
  <w:style w:type="character" w:customStyle="1" w:styleId="KommentarthemaZchn">
    <w:name w:val="Kommentarthema Zchn"/>
    <w:link w:val="Kommentarthema"/>
    <w:uiPriority w:val="99"/>
    <w:semiHidden/>
    <w:rsid w:val="00740065"/>
    <w:rPr>
      <w:rFonts w:ascii="Times New Roman" w:eastAsia="SimSun" w:hAnsi="Times New Roman"/>
      <w:b/>
      <w:bCs/>
      <w:sz w:val="24"/>
      <w:szCs w:val="24"/>
      <w:lang w:val="fr-CH" w:eastAsia="en-US"/>
    </w:rPr>
  </w:style>
  <w:style w:type="character" w:styleId="Endnotenzeichen">
    <w:name w:val="endnote reference"/>
    <w:aliases w:val="1_G"/>
    <w:rsid w:val="00426E79"/>
    <w:rPr>
      <w:rFonts w:ascii="Times New Roman" w:hAnsi="Times New Roman"/>
      <w:sz w:val="18"/>
      <w:vertAlign w:val="superscript"/>
    </w:rPr>
  </w:style>
  <w:style w:type="paragraph" w:styleId="Untertitel">
    <w:name w:val="Subtitle"/>
    <w:basedOn w:val="Standard"/>
    <w:next w:val="Standard"/>
    <w:link w:val="UntertitelZchn"/>
    <w:uiPriority w:val="11"/>
    <w:qFormat/>
    <w:rsid w:val="00C85B2A"/>
    <w:pPr>
      <w:spacing w:after="60"/>
      <w:jc w:val="center"/>
      <w:outlineLvl w:val="1"/>
    </w:pPr>
    <w:rPr>
      <w:rFonts w:eastAsia="MS Gothic"/>
    </w:rPr>
  </w:style>
  <w:style w:type="character" w:customStyle="1" w:styleId="UntertitelZchn">
    <w:name w:val="Untertitel Zchn"/>
    <w:link w:val="Untertitel"/>
    <w:uiPriority w:val="11"/>
    <w:rsid w:val="00C85B2A"/>
    <w:rPr>
      <w:rFonts w:ascii="Calibri" w:eastAsia="MS Gothic" w:hAnsi="Calibri" w:cs="Times New Roman"/>
      <w:sz w:val="24"/>
      <w:szCs w:val="24"/>
      <w:lang w:val="de-CH" w:eastAsia="en-US"/>
    </w:rPr>
  </w:style>
  <w:style w:type="character" w:customStyle="1" w:styleId="NichtaufgelsteErwhnung1">
    <w:name w:val="Nicht aufgelöste Erwähnung1"/>
    <w:basedOn w:val="Absatz-Standardschriftart"/>
    <w:uiPriority w:val="99"/>
    <w:semiHidden/>
    <w:unhideWhenUsed/>
    <w:rsid w:val="00515555"/>
    <w:rPr>
      <w:color w:val="605E5C"/>
      <w:shd w:val="clear" w:color="auto" w:fill="E1DFDD"/>
    </w:rPr>
  </w:style>
  <w:style w:type="paragraph" w:styleId="StandardWeb">
    <w:name w:val="Normal (Web)"/>
    <w:basedOn w:val="Standard"/>
    <w:uiPriority w:val="99"/>
    <w:semiHidden/>
    <w:unhideWhenUsed/>
    <w:rsid w:val="006B7CE2"/>
  </w:style>
  <w:style w:type="character" w:customStyle="1" w:styleId="WW8Num1z3">
    <w:name w:val="WW8Num1z3"/>
    <w:rsid w:val="003824DA"/>
  </w:style>
  <w:style w:type="paragraph" w:styleId="Sprechblasentext">
    <w:name w:val="Balloon Text"/>
    <w:basedOn w:val="Standard"/>
    <w:link w:val="SprechblasentextZchn"/>
    <w:uiPriority w:val="99"/>
    <w:semiHidden/>
    <w:unhideWhenUsed/>
    <w:rsid w:val="003B33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331A"/>
    <w:rPr>
      <w:rFonts w:ascii="Tahoma" w:hAnsi="Tahoma" w:cs="Tahoma"/>
      <w:sz w:val="16"/>
      <w:szCs w:val="16"/>
      <w:lang w:eastAsia="en-US"/>
    </w:rPr>
  </w:style>
  <w:style w:type="character" w:customStyle="1" w:styleId="berschrift1Zchn">
    <w:name w:val="Überschrift 1 Zchn"/>
    <w:basedOn w:val="Absatz-Standardschriftart"/>
    <w:link w:val="berschrift1"/>
    <w:uiPriority w:val="9"/>
    <w:rsid w:val="0065327F"/>
    <w:rPr>
      <w:rFonts w:asciiTheme="majorHAnsi" w:eastAsiaTheme="majorEastAsia" w:hAnsiTheme="majorHAnsi" w:cstheme="majorBidi"/>
      <w:color w:val="2F5496" w:themeColor="accent1" w:themeShade="BF"/>
      <w:sz w:val="32"/>
      <w:szCs w:val="32"/>
      <w:lang w:eastAsia="en-US"/>
    </w:rPr>
  </w:style>
  <w:style w:type="character" w:customStyle="1" w:styleId="berschrift2Zchn">
    <w:name w:val="Überschrift 2 Zchn"/>
    <w:basedOn w:val="Absatz-Standardschriftart"/>
    <w:link w:val="berschrift2"/>
    <w:uiPriority w:val="9"/>
    <w:semiHidden/>
    <w:rsid w:val="0065327F"/>
    <w:rPr>
      <w:rFonts w:asciiTheme="majorHAnsi" w:eastAsiaTheme="majorEastAsia" w:hAnsiTheme="majorHAnsi" w:cstheme="majorBidi"/>
      <w:color w:val="2F5496" w:themeColor="accent1" w:themeShade="BF"/>
      <w:sz w:val="26"/>
      <w:szCs w:val="26"/>
      <w:lang w:eastAsia="en-US"/>
    </w:rPr>
  </w:style>
  <w:style w:type="character" w:customStyle="1" w:styleId="berschrift3Zchn">
    <w:name w:val="Überschrift 3 Zchn"/>
    <w:basedOn w:val="Absatz-Standardschriftart"/>
    <w:link w:val="berschrift3"/>
    <w:uiPriority w:val="9"/>
    <w:semiHidden/>
    <w:rsid w:val="0065327F"/>
    <w:rPr>
      <w:rFonts w:asciiTheme="majorHAnsi" w:eastAsiaTheme="majorEastAsia" w:hAnsiTheme="majorHAnsi" w:cstheme="majorBidi"/>
      <w:color w:val="1F3763" w:themeColor="accent1" w:themeShade="7F"/>
      <w:sz w:val="24"/>
      <w:szCs w:val="24"/>
      <w:lang w:eastAsia="en-US"/>
    </w:rPr>
  </w:style>
  <w:style w:type="paragraph" w:styleId="Verzeichnis1">
    <w:name w:val="toc 1"/>
    <w:basedOn w:val="Standard"/>
    <w:next w:val="Standard"/>
    <w:autoRedefine/>
    <w:uiPriority w:val="39"/>
    <w:unhideWhenUsed/>
    <w:rsid w:val="005D4C9E"/>
    <w:pPr>
      <w:tabs>
        <w:tab w:val="right" w:leader="dot" w:pos="9628"/>
      </w:tabs>
      <w:spacing w:after="100"/>
    </w:pPr>
  </w:style>
  <w:style w:type="paragraph" w:styleId="Verzeichnis2">
    <w:name w:val="toc 2"/>
    <w:basedOn w:val="Standard"/>
    <w:next w:val="Standard"/>
    <w:autoRedefine/>
    <w:uiPriority w:val="39"/>
    <w:unhideWhenUsed/>
    <w:rsid w:val="0065327F"/>
    <w:pPr>
      <w:spacing w:after="100"/>
      <w:ind w:left="220"/>
    </w:pPr>
  </w:style>
  <w:style w:type="character" w:customStyle="1" w:styleId="NichtaufgelsteErwhnung2">
    <w:name w:val="Nicht aufgelöste Erwähnung2"/>
    <w:basedOn w:val="Absatz-Standardschriftart"/>
    <w:uiPriority w:val="99"/>
    <w:semiHidden/>
    <w:unhideWhenUsed/>
    <w:rsid w:val="008D626E"/>
    <w:rPr>
      <w:color w:val="605E5C"/>
      <w:shd w:val="clear" w:color="auto" w:fill="E1DFDD"/>
    </w:rPr>
  </w:style>
  <w:style w:type="character" w:styleId="Kommentarzeichen">
    <w:name w:val="annotation reference"/>
    <w:basedOn w:val="Absatz-Standardschriftart"/>
    <w:uiPriority w:val="99"/>
    <w:semiHidden/>
    <w:unhideWhenUsed/>
    <w:rsid w:val="002A68F3"/>
    <w:rPr>
      <w:sz w:val="16"/>
      <w:szCs w:val="16"/>
    </w:rPr>
  </w:style>
  <w:style w:type="paragraph" w:customStyle="1" w:styleId="Absatznummeriert">
    <w:name w:val="Absatz nummeriert"/>
    <w:basedOn w:val="Standard"/>
    <w:rsid w:val="00AB0048"/>
    <w:pPr>
      <w:numPr>
        <w:numId w:val="29"/>
      </w:numPr>
    </w:pPr>
  </w:style>
  <w:style w:type="paragraph" w:customStyle="1" w:styleId="Titel3ECHR">
    <w:name w:val="Titel 3 ECHR"/>
    <w:next w:val="Standard"/>
    <w:autoRedefine/>
    <w:qFormat/>
    <w:rsid w:val="00AB6396"/>
    <w:pPr>
      <w:spacing w:before="28" w:after="113" w:line="288" w:lineRule="atLeast"/>
    </w:pPr>
    <w:rPr>
      <w:rFonts w:ascii="Arial" w:eastAsia="Helvetica-Bold" w:hAnsi="Arial" w:cs="Arial"/>
      <w:b/>
      <w:bCs/>
      <w:iCs/>
      <w:color w:val="5E175E"/>
      <w:spacing w:val="2"/>
      <w:kern w:val="1"/>
      <w:sz w:val="22"/>
      <w:szCs w:val="28"/>
      <w:lang w:val="en-GB" w:bidi="hi-IN"/>
    </w:rPr>
  </w:style>
  <w:style w:type="paragraph" w:customStyle="1" w:styleId="AbsatzSchattenbericht0">
    <w:name w:val="Absatz Schattenbericht"/>
    <w:basedOn w:val="Standard"/>
    <w:qFormat/>
    <w:rsid w:val="00621908"/>
    <w:pPr>
      <w:spacing w:after="113" w:line="288" w:lineRule="auto"/>
    </w:pPr>
    <w:rPr>
      <w:spacing w:val="2"/>
      <w:kern w:val="24"/>
      <w:lang w:val="de-LU"/>
    </w:rPr>
  </w:style>
  <w:style w:type="character" w:customStyle="1" w:styleId="WW8Num17z0">
    <w:name w:val="WW8Num17z0"/>
    <w:rsid w:val="008A1D0C"/>
    <w:rPr>
      <w:rFonts w:ascii="OpenSymbol" w:eastAsia="OpenSymbol" w:hAnsi="OpenSymbol" w:cs="OpenSymbol"/>
    </w:rPr>
  </w:style>
  <w:style w:type="paragraph" w:customStyle="1" w:styleId="EinfacherAbsatz">
    <w:name w:val="[Einfacher Absatz]"/>
    <w:basedOn w:val="Standard"/>
    <w:rsid w:val="00C81701"/>
    <w:pPr>
      <w:widowControl w:val="0"/>
      <w:suppressAutoHyphens/>
      <w:autoSpaceDE w:val="0"/>
      <w:spacing w:line="288" w:lineRule="auto"/>
      <w:textAlignment w:val="center"/>
    </w:pPr>
    <w:rPr>
      <w:rFonts w:ascii="MinionPro-Regular" w:eastAsia="MinionPro-Regular" w:hAnsi="MinionPro-Regular" w:cs="MinionPro-Regular"/>
      <w:color w:val="000000"/>
      <w:kern w:val="1"/>
      <w:lang w:val="de-DE" w:bidi="hi-IN"/>
    </w:rPr>
  </w:style>
  <w:style w:type="character" w:styleId="Seitenzahl">
    <w:name w:val="page number"/>
    <w:basedOn w:val="Absatz-Standardschriftart"/>
    <w:uiPriority w:val="99"/>
    <w:semiHidden/>
    <w:unhideWhenUsed/>
    <w:rsid w:val="00F41126"/>
  </w:style>
  <w:style w:type="character" w:styleId="NichtaufgelsteErwhnung">
    <w:name w:val="Unresolved Mention"/>
    <w:basedOn w:val="Absatz-Standardschriftart"/>
    <w:uiPriority w:val="99"/>
    <w:semiHidden/>
    <w:unhideWhenUsed/>
    <w:rsid w:val="003B167B"/>
    <w:rPr>
      <w:color w:val="605E5C"/>
      <w:shd w:val="clear" w:color="auto" w:fill="E1DFDD"/>
    </w:rPr>
  </w:style>
  <w:style w:type="paragraph" w:styleId="Listenabsatz">
    <w:name w:val="List Paragraph"/>
    <w:basedOn w:val="Standard"/>
    <w:uiPriority w:val="34"/>
    <w:qFormat/>
    <w:rsid w:val="00713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4768">
      <w:bodyDiv w:val="1"/>
      <w:marLeft w:val="0"/>
      <w:marRight w:val="0"/>
      <w:marTop w:val="0"/>
      <w:marBottom w:val="0"/>
      <w:divBdr>
        <w:top w:val="none" w:sz="0" w:space="0" w:color="auto"/>
        <w:left w:val="none" w:sz="0" w:space="0" w:color="auto"/>
        <w:bottom w:val="none" w:sz="0" w:space="0" w:color="auto"/>
        <w:right w:val="none" w:sz="0" w:space="0" w:color="auto"/>
      </w:divBdr>
    </w:div>
    <w:div w:id="19209129">
      <w:bodyDiv w:val="1"/>
      <w:marLeft w:val="0"/>
      <w:marRight w:val="0"/>
      <w:marTop w:val="0"/>
      <w:marBottom w:val="0"/>
      <w:divBdr>
        <w:top w:val="none" w:sz="0" w:space="0" w:color="auto"/>
        <w:left w:val="none" w:sz="0" w:space="0" w:color="auto"/>
        <w:bottom w:val="none" w:sz="0" w:space="0" w:color="auto"/>
        <w:right w:val="none" w:sz="0" w:space="0" w:color="auto"/>
      </w:divBdr>
      <w:divsChild>
        <w:div w:id="1850876410">
          <w:marLeft w:val="0"/>
          <w:marRight w:val="0"/>
          <w:marTop w:val="0"/>
          <w:marBottom w:val="0"/>
          <w:divBdr>
            <w:top w:val="none" w:sz="0" w:space="0" w:color="auto"/>
            <w:left w:val="none" w:sz="0" w:space="0" w:color="auto"/>
            <w:bottom w:val="none" w:sz="0" w:space="0" w:color="auto"/>
            <w:right w:val="none" w:sz="0" w:space="0" w:color="auto"/>
          </w:divBdr>
          <w:divsChild>
            <w:div w:id="1363896607">
              <w:marLeft w:val="0"/>
              <w:marRight w:val="0"/>
              <w:marTop w:val="0"/>
              <w:marBottom w:val="0"/>
              <w:divBdr>
                <w:top w:val="none" w:sz="0" w:space="0" w:color="auto"/>
                <w:left w:val="none" w:sz="0" w:space="0" w:color="auto"/>
                <w:bottom w:val="none" w:sz="0" w:space="0" w:color="auto"/>
                <w:right w:val="none" w:sz="0" w:space="0" w:color="auto"/>
              </w:divBdr>
              <w:divsChild>
                <w:div w:id="1049039722">
                  <w:marLeft w:val="0"/>
                  <w:marRight w:val="0"/>
                  <w:marTop w:val="0"/>
                  <w:marBottom w:val="0"/>
                  <w:divBdr>
                    <w:top w:val="none" w:sz="0" w:space="0" w:color="auto"/>
                    <w:left w:val="none" w:sz="0" w:space="0" w:color="auto"/>
                    <w:bottom w:val="none" w:sz="0" w:space="0" w:color="auto"/>
                    <w:right w:val="none" w:sz="0" w:space="0" w:color="auto"/>
                  </w:divBdr>
                  <w:divsChild>
                    <w:div w:id="19232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773">
      <w:bodyDiv w:val="1"/>
      <w:marLeft w:val="0"/>
      <w:marRight w:val="0"/>
      <w:marTop w:val="0"/>
      <w:marBottom w:val="0"/>
      <w:divBdr>
        <w:top w:val="none" w:sz="0" w:space="0" w:color="auto"/>
        <w:left w:val="none" w:sz="0" w:space="0" w:color="auto"/>
        <w:bottom w:val="none" w:sz="0" w:space="0" w:color="auto"/>
        <w:right w:val="none" w:sz="0" w:space="0" w:color="auto"/>
      </w:divBdr>
    </w:div>
    <w:div w:id="32003514">
      <w:bodyDiv w:val="1"/>
      <w:marLeft w:val="0"/>
      <w:marRight w:val="0"/>
      <w:marTop w:val="0"/>
      <w:marBottom w:val="0"/>
      <w:divBdr>
        <w:top w:val="none" w:sz="0" w:space="0" w:color="auto"/>
        <w:left w:val="none" w:sz="0" w:space="0" w:color="auto"/>
        <w:bottom w:val="none" w:sz="0" w:space="0" w:color="auto"/>
        <w:right w:val="none" w:sz="0" w:space="0" w:color="auto"/>
      </w:divBdr>
      <w:divsChild>
        <w:div w:id="317617691">
          <w:marLeft w:val="0"/>
          <w:marRight w:val="0"/>
          <w:marTop w:val="0"/>
          <w:marBottom w:val="0"/>
          <w:divBdr>
            <w:top w:val="none" w:sz="0" w:space="0" w:color="auto"/>
            <w:left w:val="none" w:sz="0" w:space="0" w:color="auto"/>
            <w:bottom w:val="none" w:sz="0" w:space="0" w:color="auto"/>
            <w:right w:val="none" w:sz="0" w:space="0" w:color="auto"/>
          </w:divBdr>
          <w:divsChild>
            <w:div w:id="1588810738">
              <w:marLeft w:val="0"/>
              <w:marRight w:val="0"/>
              <w:marTop w:val="0"/>
              <w:marBottom w:val="0"/>
              <w:divBdr>
                <w:top w:val="none" w:sz="0" w:space="0" w:color="auto"/>
                <w:left w:val="none" w:sz="0" w:space="0" w:color="auto"/>
                <w:bottom w:val="none" w:sz="0" w:space="0" w:color="auto"/>
                <w:right w:val="none" w:sz="0" w:space="0" w:color="auto"/>
              </w:divBdr>
              <w:divsChild>
                <w:div w:id="11370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2832">
      <w:bodyDiv w:val="1"/>
      <w:marLeft w:val="0"/>
      <w:marRight w:val="0"/>
      <w:marTop w:val="0"/>
      <w:marBottom w:val="0"/>
      <w:divBdr>
        <w:top w:val="none" w:sz="0" w:space="0" w:color="auto"/>
        <w:left w:val="none" w:sz="0" w:space="0" w:color="auto"/>
        <w:bottom w:val="none" w:sz="0" w:space="0" w:color="auto"/>
        <w:right w:val="none" w:sz="0" w:space="0" w:color="auto"/>
      </w:divBdr>
      <w:divsChild>
        <w:div w:id="255553123">
          <w:marLeft w:val="0"/>
          <w:marRight w:val="0"/>
          <w:marTop w:val="0"/>
          <w:marBottom w:val="0"/>
          <w:divBdr>
            <w:top w:val="none" w:sz="0" w:space="0" w:color="auto"/>
            <w:left w:val="none" w:sz="0" w:space="0" w:color="auto"/>
            <w:bottom w:val="none" w:sz="0" w:space="0" w:color="auto"/>
            <w:right w:val="none" w:sz="0" w:space="0" w:color="auto"/>
          </w:divBdr>
          <w:divsChild>
            <w:div w:id="943807798">
              <w:marLeft w:val="0"/>
              <w:marRight w:val="0"/>
              <w:marTop w:val="0"/>
              <w:marBottom w:val="0"/>
              <w:divBdr>
                <w:top w:val="none" w:sz="0" w:space="0" w:color="auto"/>
                <w:left w:val="none" w:sz="0" w:space="0" w:color="auto"/>
                <w:bottom w:val="none" w:sz="0" w:space="0" w:color="auto"/>
                <w:right w:val="none" w:sz="0" w:space="0" w:color="auto"/>
              </w:divBdr>
              <w:divsChild>
                <w:div w:id="11911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0799">
      <w:bodyDiv w:val="1"/>
      <w:marLeft w:val="0"/>
      <w:marRight w:val="0"/>
      <w:marTop w:val="0"/>
      <w:marBottom w:val="0"/>
      <w:divBdr>
        <w:top w:val="none" w:sz="0" w:space="0" w:color="auto"/>
        <w:left w:val="none" w:sz="0" w:space="0" w:color="auto"/>
        <w:bottom w:val="none" w:sz="0" w:space="0" w:color="auto"/>
        <w:right w:val="none" w:sz="0" w:space="0" w:color="auto"/>
      </w:divBdr>
    </w:div>
    <w:div w:id="122428340">
      <w:bodyDiv w:val="1"/>
      <w:marLeft w:val="0"/>
      <w:marRight w:val="0"/>
      <w:marTop w:val="0"/>
      <w:marBottom w:val="0"/>
      <w:divBdr>
        <w:top w:val="none" w:sz="0" w:space="0" w:color="auto"/>
        <w:left w:val="none" w:sz="0" w:space="0" w:color="auto"/>
        <w:bottom w:val="none" w:sz="0" w:space="0" w:color="auto"/>
        <w:right w:val="none" w:sz="0" w:space="0" w:color="auto"/>
      </w:divBdr>
      <w:divsChild>
        <w:div w:id="722025823">
          <w:marLeft w:val="0"/>
          <w:marRight w:val="0"/>
          <w:marTop w:val="0"/>
          <w:marBottom w:val="0"/>
          <w:divBdr>
            <w:top w:val="none" w:sz="0" w:space="0" w:color="auto"/>
            <w:left w:val="none" w:sz="0" w:space="0" w:color="auto"/>
            <w:bottom w:val="none" w:sz="0" w:space="0" w:color="auto"/>
            <w:right w:val="none" w:sz="0" w:space="0" w:color="auto"/>
          </w:divBdr>
          <w:divsChild>
            <w:div w:id="198251352">
              <w:marLeft w:val="0"/>
              <w:marRight w:val="0"/>
              <w:marTop w:val="0"/>
              <w:marBottom w:val="0"/>
              <w:divBdr>
                <w:top w:val="none" w:sz="0" w:space="0" w:color="auto"/>
                <w:left w:val="none" w:sz="0" w:space="0" w:color="auto"/>
                <w:bottom w:val="none" w:sz="0" w:space="0" w:color="auto"/>
                <w:right w:val="none" w:sz="0" w:space="0" w:color="auto"/>
              </w:divBdr>
              <w:divsChild>
                <w:div w:id="1080978647">
                  <w:marLeft w:val="0"/>
                  <w:marRight w:val="0"/>
                  <w:marTop w:val="0"/>
                  <w:marBottom w:val="0"/>
                  <w:divBdr>
                    <w:top w:val="none" w:sz="0" w:space="0" w:color="auto"/>
                    <w:left w:val="none" w:sz="0" w:space="0" w:color="auto"/>
                    <w:bottom w:val="none" w:sz="0" w:space="0" w:color="auto"/>
                    <w:right w:val="none" w:sz="0" w:space="0" w:color="auto"/>
                  </w:divBdr>
                  <w:divsChild>
                    <w:div w:id="19499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1018">
      <w:bodyDiv w:val="1"/>
      <w:marLeft w:val="0"/>
      <w:marRight w:val="0"/>
      <w:marTop w:val="0"/>
      <w:marBottom w:val="0"/>
      <w:divBdr>
        <w:top w:val="none" w:sz="0" w:space="0" w:color="auto"/>
        <w:left w:val="none" w:sz="0" w:space="0" w:color="auto"/>
        <w:bottom w:val="none" w:sz="0" w:space="0" w:color="auto"/>
        <w:right w:val="none" w:sz="0" w:space="0" w:color="auto"/>
      </w:divBdr>
      <w:divsChild>
        <w:div w:id="1131052648">
          <w:marLeft w:val="0"/>
          <w:marRight w:val="0"/>
          <w:marTop w:val="0"/>
          <w:marBottom w:val="0"/>
          <w:divBdr>
            <w:top w:val="none" w:sz="0" w:space="0" w:color="auto"/>
            <w:left w:val="none" w:sz="0" w:space="0" w:color="auto"/>
            <w:bottom w:val="none" w:sz="0" w:space="0" w:color="auto"/>
            <w:right w:val="none" w:sz="0" w:space="0" w:color="auto"/>
          </w:divBdr>
          <w:divsChild>
            <w:div w:id="1611431733">
              <w:marLeft w:val="0"/>
              <w:marRight w:val="0"/>
              <w:marTop w:val="0"/>
              <w:marBottom w:val="0"/>
              <w:divBdr>
                <w:top w:val="none" w:sz="0" w:space="0" w:color="auto"/>
                <w:left w:val="none" w:sz="0" w:space="0" w:color="auto"/>
                <w:bottom w:val="none" w:sz="0" w:space="0" w:color="auto"/>
                <w:right w:val="none" w:sz="0" w:space="0" w:color="auto"/>
              </w:divBdr>
              <w:divsChild>
                <w:div w:id="11344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9935">
      <w:bodyDiv w:val="1"/>
      <w:marLeft w:val="0"/>
      <w:marRight w:val="0"/>
      <w:marTop w:val="0"/>
      <w:marBottom w:val="0"/>
      <w:divBdr>
        <w:top w:val="none" w:sz="0" w:space="0" w:color="auto"/>
        <w:left w:val="none" w:sz="0" w:space="0" w:color="auto"/>
        <w:bottom w:val="none" w:sz="0" w:space="0" w:color="auto"/>
        <w:right w:val="none" w:sz="0" w:space="0" w:color="auto"/>
      </w:divBdr>
    </w:div>
    <w:div w:id="174266206">
      <w:bodyDiv w:val="1"/>
      <w:marLeft w:val="0"/>
      <w:marRight w:val="0"/>
      <w:marTop w:val="0"/>
      <w:marBottom w:val="0"/>
      <w:divBdr>
        <w:top w:val="none" w:sz="0" w:space="0" w:color="auto"/>
        <w:left w:val="none" w:sz="0" w:space="0" w:color="auto"/>
        <w:bottom w:val="none" w:sz="0" w:space="0" w:color="auto"/>
        <w:right w:val="none" w:sz="0" w:space="0" w:color="auto"/>
      </w:divBdr>
    </w:div>
    <w:div w:id="184831173">
      <w:bodyDiv w:val="1"/>
      <w:marLeft w:val="0"/>
      <w:marRight w:val="0"/>
      <w:marTop w:val="0"/>
      <w:marBottom w:val="0"/>
      <w:divBdr>
        <w:top w:val="none" w:sz="0" w:space="0" w:color="auto"/>
        <w:left w:val="none" w:sz="0" w:space="0" w:color="auto"/>
        <w:bottom w:val="none" w:sz="0" w:space="0" w:color="auto"/>
        <w:right w:val="none" w:sz="0" w:space="0" w:color="auto"/>
      </w:divBdr>
    </w:div>
    <w:div w:id="219371000">
      <w:bodyDiv w:val="1"/>
      <w:marLeft w:val="0"/>
      <w:marRight w:val="0"/>
      <w:marTop w:val="0"/>
      <w:marBottom w:val="0"/>
      <w:divBdr>
        <w:top w:val="none" w:sz="0" w:space="0" w:color="auto"/>
        <w:left w:val="none" w:sz="0" w:space="0" w:color="auto"/>
        <w:bottom w:val="none" w:sz="0" w:space="0" w:color="auto"/>
        <w:right w:val="none" w:sz="0" w:space="0" w:color="auto"/>
      </w:divBdr>
    </w:div>
    <w:div w:id="276068328">
      <w:bodyDiv w:val="1"/>
      <w:marLeft w:val="0"/>
      <w:marRight w:val="0"/>
      <w:marTop w:val="0"/>
      <w:marBottom w:val="0"/>
      <w:divBdr>
        <w:top w:val="none" w:sz="0" w:space="0" w:color="auto"/>
        <w:left w:val="none" w:sz="0" w:space="0" w:color="auto"/>
        <w:bottom w:val="none" w:sz="0" w:space="0" w:color="auto"/>
        <w:right w:val="none" w:sz="0" w:space="0" w:color="auto"/>
      </w:divBdr>
    </w:div>
    <w:div w:id="302001046">
      <w:bodyDiv w:val="1"/>
      <w:marLeft w:val="0"/>
      <w:marRight w:val="0"/>
      <w:marTop w:val="0"/>
      <w:marBottom w:val="0"/>
      <w:divBdr>
        <w:top w:val="none" w:sz="0" w:space="0" w:color="auto"/>
        <w:left w:val="none" w:sz="0" w:space="0" w:color="auto"/>
        <w:bottom w:val="none" w:sz="0" w:space="0" w:color="auto"/>
        <w:right w:val="none" w:sz="0" w:space="0" w:color="auto"/>
      </w:divBdr>
    </w:div>
    <w:div w:id="344481500">
      <w:bodyDiv w:val="1"/>
      <w:marLeft w:val="0"/>
      <w:marRight w:val="0"/>
      <w:marTop w:val="0"/>
      <w:marBottom w:val="0"/>
      <w:divBdr>
        <w:top w:val="none" w:sz="0" w:space="0" w:color="auto"/>
        <w:left w:val="none" w:sz="0" w:space="0" w:color="auto"/>
        <w:bottom w:val="none" w:sz="0" w:space="0" w:color="auto"/>
        <w:right w:val="none" w:sz="0" w:space="0" w:color="auto"/>
      </w:divBdr>
    </w:div>
    <w:div w:id="346978832">
      <w:bodyDiv w:val="1"/>
      <w:marLeft w:val="0"/>
      <w:marRight w:val="0"/>
      <w:marTop w:val="0"/>
      <w:marBottom w:val="0"/>
      <w:divBdr>
        <w:top w:val="none" w:sz="0" w:space="0" w:color="auto"/>
        <w:left w:val="none" w:sz="0" w:space="0" w:color="auto"/>
        <w:bottom w:val="none" w:sz="0" w:space="0" w:color="auto"/>
        <w:right w:val="none" w:sz="0" w:space="0" w:color="auto"/>
      </w:divBdr>
    </w:div>
    <w:div w:id="377556465">
      <w:bodyDiv w:val="1"/>
      <w:marLeft w:val="0"/>
      <w:marRight w:val="0"/>
      <w:marTop w:val="0"/>
      <w:marBottom w:val="0"/>
      <w:divBdr>
        <w:top w:val="none" w:sz="0" w:space="0" w:color="auto"/>
        <w:left w:val="none" w:sz="0" w:space="0" w:color="auto"/>
        <w:bottom w:val="none" w:sz="0" w:space="0" w:color="auto"/>
        <w:right w:val="none" w:sz="0" w:space="0" w:color="auto"/>
      </w:divBdr>
      <w:divsChild>
        <w:div w:id="1382945790">
          <w:marLeft w:val="0"/>
          <w:marRight w:val="0"/>
          <w:marTop w:val="0"/>
          <w:marBottom w:val="0"/>
          <w:divBdr>
            <w:top w:val="none" w:sz="0" w:space="0" w:color="auto"/>
            <w:left w:val="none" w:sz="0" w:space="0" w:color="auto"/>
            <w:bottom w:val="none" w:sz="0" w:space="0" w:color="auto"/>
            <w:right w:val="none" w:sz="0" w:space="0" w:color="auto"/>
          </w:divBdr>
          <w:divsChild>
            <w:div w:id="1349333878">
              <w:marLeft w:val="0"/>
              <w:marRight w:val="0"/>
              <w:marTop w:val="0"/>
              <w:marBottom w:val="0"/>
              <w:divBdr>
                <w:top w:val="none" w:sz="0" w:space="0" w:color="auto"/>
                <w:left w:val="none" w:sz="0" w:space="0" w:color="auto"/>
                <w:bottom w:val="none" w:sz="0" w:space="0" w:color="auto"/>
                <w:right w:val="none" w:sz="0" w:space="0" w:color="auto"/>
              </w:divBdr>
              <w:divsChild>
                <w:div w:id="6755051">
                  <w:marLeft w:val="0"/>
                  <w:marRight w:val="0"/>
                  <w:marTop w:val="0"/>
                  <w:marBottom w:val="0"/>
                  <w:divBdr>
                    <w:top w:val="none" w:sz="0" w:space="0" w:color="auto"/>
                    <w:left w:val="none" w:sz="0" w:space="0" w:color="auto"/>
                    <w:bottom w:val="none" w:sz="0" w:space="0" w:color="auto"/>
                    <w:right w:val="none" w:sz="0" w:space="0" w:color="auto"/>
                  </w:divBdr>
                  <w:divsChild>
                    <w:div w:id="8430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29125">
      <w:bodyDiv w:val="1"/>
      <w:marLeft w:val="0"/>
      <w:marRight w:val="0"/>
      <w:marTop w:val="0"/>
      <w:marBottom w:val="0"/>
      <w:divBdr>
        <w:top w:val="none" w:sz="0" w:space="0" w:color="auto"/>
        <w:left w:val="none" w:sz="0" w:space="0" w:color="auto"/>
        <w:bottom w:val="none" w:sz="0" w:space="0" w:color="auto"/>
        <w:right w:val="none" w:sz="0" w:space="0" w:color="auto"/>
      </w:divBdr>
    </w:div>
    <w:div w:id="399986526">
      <w:bodyDiv w:val="1"/>
      <w:marLeft w:val="0"/>
      <w:marRight w:val="0"/>
      <w:marTop w:val="0"/>
      <w:marBottom w:val="0"/>
      <w:divBdr>
        <w:top w:val="none" w:sz="0" w:space="0" w:color="auto"/>
        <w:left w:val="none" w:sz="0" w:space="0" w:color="auto"/>
        <w:bottom w:val="none" w:sz="0" w:space="0" w:color="auto"/>
        <w:right w:val="none" w:sz="0" w:space="0" w:color="auto"/>
      </w:divBdr>
    </w:div>
    <w:div w:id="400521610">
      <w:bodyDiv w:val="1"/>
      <w:marLeft w:val="0"/>
      <w:marRight w:val="0"/>
      <w:marTop w:val="0"/>
      <w:marBottom w:val="0"/>
      <w:divBdr>
        <w:top w:val="none" w:sz="0" w:space="0" w:color="auto"/>
        <w:left w:val="none" w:sz="0" w:space="0" w:color="auto"/>
        <w:bottom w:val="none" w:sz="0" w:space="0" w:color="auto"/>
        <w:right w:val="none" w:sz="0" w:space="0" w:color="auto"/>
      </w:divBdr>
    </w:div>
    <w:div w:id="408041698">
      <w:bodyDiv w:val="1"/>
      <w:marLeft w:val="0"/>
      <w:marRight w:val="0"/>
      <w:marTop w:val="0"/>
      <w:marBottom w:val="0"/>
      <w:divBdr>
        <w:top w:val="none" w:sz="0" w:space="0" w:color="auto"/>
        <w:left w:val="none" w:sz="0" w:space="0" w:color="auto"/>
        <w:bottom w:val="none" w:sz="0" w:space="0" w:color="auto"/>
        <w:right w:val="none" w:sz="0" w:space="0" w:color="auto"/>
      </w:divBdr>
    </w:div>
    <w:div w:id="428351936">
      <w:bodyDiv w:val="1"/>
      <w:marLeft w:val="0"/>
      <w:marRight w:val="0"/>
      <w:marTop w:val="0"/>
      <w:marBottom w:val="0"/>
      <w:divBdr>
        <w:top w:val="none" w:sz="0" w:space="0" w:color="auto"/>
        <w:left w:val="none" w:sz="0" w:space="0" w:color="auto"/>
        <w:bottom w:val="none" w:sz="0" w:space="0" w:color="auto"/>
        <w:right w:val="none" w:sz="0" w:space="0" w:color="auto"/>
      </w:divBdr>
    </w:div>
    <w:div w:id="442067817">
      <w:bodyDiv w:val="1"/>
      <w:marLeft w:val="0"/>
      <w:marRight w:val="0"/>
      <w:marTop w:val="0"/>
      <w:marBottom w:val="0"/>
      <w:divBdr>
        <w:top w:val="none" w:sz="0" w:space="0" w:color="auto"/>
        <w:left w:val="none" w:sz="0" w:space="0" w:color="auto"/>
        <w:bottom w:val="none" w:sz="0" w:space="0" w:color="auto"/>
        <w:right w:val="none" w:sz="0" w:space="0" w:color="auto"/>
      </w:divBdr>
    </w:div>
    <w:div w:id="465859365">
      <w:bodyDiv w:val="1"/>
      <w:marLeft w:val="0"/>
      <w:marRight w:val="0"/>
      <w:marTop w:val="0"/>
      <w:marBottom w:val="0"/>
      <w:divBdr>
        <w:top w:val="none" w:sz="0" w:space="0" w:color="auto"/>
        <w:left w:val="none" w:sz="0" w:space="0" w:color="auto"/>
        <w:bottom w:val="none" w:sz="0" w:space="0" w:color="auto"/>
        <w:right w:val="none" w:sz="0" w:space="0" w:color="auto"/>
      </w:divBdr>
    </w:div>
    <w:div w:id="491992965">
      <w:bodyDiv w:val="1"/>
      <w:marLeft w:val="0"/>
      <w:marRight w:val="0"/>
      <w:marTop w:val="0"/>
      <w:marBottom w:val="0"/>
      <w:divBdr>
        <w:top w:val="none" w:sz="0" w:space="0" w:color="auto"/>
        <w:left w:val="none" w:sz="0" w:space="0" w:color="auto"/>
        <w:bottom w:val="none" w:sz="0" w:space="0" w:color="auto"/>
        <w:right w:val="none" w:sz="0" w:space="0" w:color="auto"/>
      </w:divBdr>
    </w:div>
    <w:div w:id="506025004">
      <w:bodyDiv w:val="1"/>
      <w:marLeft w:val="0"/>
      <w:marRight w:val="0"/>
      <w:marTop w:val="0"/>
      <w:marBottom w:val="0"/>
      <w:divBdr>
        <w:top w:val="none" w:sz="0" w:space="0" w:color="auto"/>
        <w:left w:val="none" w:sz="0" w:space="0" w:color="auto"/>
        <w:bottom w:val="none" w:sz="0" w:space="0" w:color="auto"/>
        <w:right w:val="none" w:sz="0" w:space="0" w:color="auto"/>
      </w:divBdr>
    </w:div>
    <w:div w:id="533422699">
      <w:bodyDiv w:val="1"/>
      <w:marLeft w:val="0"/>
      <w:marRight w:val="0"/>
      <w:marTop w:val="0"/>
      <w:marBottom w:val="0"/>
      <w:divBdr>
        <w:top w:val="none" w:sz="0" w:space="0" w:color="auto"/>
        <w:left w:val="none" w:sz="0" w:space="0" w:color="auto"/>
        <w:bottom w:val="none" w:sz="0" w:space="0" w:color="auto"/>
        <w:right w:val="none" w:sz="0" w:space="0" w:color="auto"/>
      </w:divBdr>
    </w:div>
    <w:div w:id="568266170">
      <w:bodyDiv w:val="1"/>
      <w:marLeft w:val="0"/>
      <w:marRight w:val="0"/>
      <w:marTop w:val="0"/>
      <w:marBottom w:val="0"/>
      <w:divBdr>
        <w:top w:val="none" w:sz="0" w:space="0" w:color="auto"/>
        <w:left w:val="none" w:sz="0" w:space="0" w:color="auto"/>
        <w:bottom w:val="none" w:sz="0" w:space="0" w:color="auto"/>
        <w:right w:val="none" w:sz="0" w:space="0" w:color="auto"/>
      </w:divBdr>
      <w:divsChild>
        <w:div w:id="1621765077">
          <w:marLeft w:val="0"/>
          <w:marRight w:val="0"/>
          <w:marTop w:val="0"/>
          <w:marBottom w:val="0"/>
          <w:divBdr>
            <w:top w:val="none" w:sz="0" w:space="0" w:color="auto"/>
            <w:left w:val="none" w:sz="0" w:space="0" w:color="auto"/>
            <w:bottom w:val="none" w:sz="0" w:space="0" w:color="auto"/>
            <w:right w:val="none" w:sz="0" w:space="0" w:color="auto"/>
          </w:divBdr>
          <w:divsChild>
            <w:div w:id="471680958">
              <w:marLeft w:val="0"/>
              <w:marRight w:val="0"/>
              <w:marTop w:val="0"/>
              <w:marBottom w:val="0"/>
              <w:divBdr>
                <w:top w:val="none" w:sz="0" w:space="0" w:color="auto"/>
                <w:left w:val="none" w:sz="0" w:space="0" w:color="auto"/>
                <w:bottom w:val="none" w:sz="0" w:space="0" w:color="auto"/>
                <w:right w:val="none" w:sz="0" w:space="0" w:color="auto"/>
              </w:divBdr>
              <w:divsChild>
                <w:div w:id="514539128">
                  <w:marLeft w:val="0"/>
                  <w:marRight w:val="0"/>
                  <w:marTop w:val="0"/>
                  <w:marBottom w:val="0"/>
                  <w:divBdr>
                    <w:top w:val="none" w:sz="0" w:space="0" w:color="auto"/>
                    <w:left w:val="none" w:sz="0" w:space="0" w:color="auto"/>
                    <w:bottom w:val="none" w:sz="0" w:space="0" w:color="auto"/>
                    <w:right w:val="none" w:sz="0" w:space="0" w:color="auto"/>
                  </w:divBdr>
                  <w:divsChild>
                    <w:div w:id="18909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969045">
      <w:bodyDiv w:val="1"/>
      <w:marLeft w:val="0"/>
      <w:marRight w:val="0"/>
      <w:marTop w:val="0"/>
      <w:marBottom w:val="0"/>
      <w:divBdr>
        <w:top w:val="none" w:sz="0" w:space="0" w:color="auto"/>
        <w:left w:val="none" w:sz="0" w:space="0" w:color="auto"/>
        <w:bottom w:val="none" w:sz="0" w:space="0" w:color="auto"/>
        <w:right w:val="none" w:sz="0" w:space="0" w:color="auto"/>
      </w:divBdr>
    </w:div>
    <w:div w:id="614558942">
      <w:bodyDiv w:val="1"/>
      <w:marLeft w:val="0"/>
      <w:marRight w:val="0"/>
      <w:marTop w:val="0"/>
      <w:marBottom w:val="0"/>
      <w:divBdr>
        <w:top w:val="none" w:sz="0" w:space="0" w:color="auto"/>
        <w:left w:val="none" w:sz="0" w:space="0" w:color="auto"/>
        <w:bottom w:val="none" w:sz="0" w:space="0" w:color="auto"/>
        <w:right w:val="none" w:sz="0" w:space="0" w:color="auto"/>
      </w:divBdr>
      <w:divsChild>
        <w:div w:id="701828882">
          <w:marLeft w:val="0"/>
          <w:marRight w:val="0"/>
          <w:marTop w:val="0"/>
          <w:marBottom w:val="0"/>
          <w:divBdr>
            <w:top w:val="none" w:sz="0" w:space="0" w:color="auto"/>
            <w:left w:val="none" w:sz="0" w:space="0" w:color="auto"/>
            <w:bottom w:val="none" w:sz="0" w:space="0" w:color="auto"/>
            <w:right w:val="none" w:sz="0" w:space="0" w:color="auto"/>
          </w:divBdr>
          <w:divsChild>
            <w:div w:id="1229262526">
              <w:marLeft w:val="0"/>
              <w:marRight w:val="0"/>
              <w:marTop w:val="0"/>
              <w:marBottom w:val="0"/>
              <w:divBdr>
                <w:top w:val="none" w:sz="0" w:space="0" w:color="auto"/>
                <w:left w:val="none" w:sz="0" w:space="0" w:color="auto"/>
                <w:bottom w:val="none" w:sz="0" w:space="0" w:color="auto"/>
                <w:right w:val="none" w:sz="0" w:space="0" w:color="auto"/>
              </w:divBdr>
              <w:divsChild>
                <w:div w:id="165941951">
                  <w:marLeft w:val="0"/>
                  <w:marRight w:val="0"/>
                  <w:marTop w:val="0"/>
                  <w:marBottom w:val="0"/>
                  <w:divBdr>
                    <w:top w:val="none" w:sz="0" w:space="0" w:color="auto"/>
                    <w:left w:val="none" w:sz="0" w:space="0" w:color="auto"/>
                    <w:bottom w:val="none" w:sz="0" w:space="0" w:color="auto"/>
                    <w:right w:val="none" w:sz="0" w:space="0" w:color="auto"/>
                  </w:divBdr>
                  <w:divsChild>
                    <w:div w:id="97210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02777">
      <w:bodyDiv w:val="1"/>
      <w:marLeft w:val="0"/>
      <w:marRight w:val="0"/>
      <w:marTop w:val="0"/>
      <w:marBottom w:val="0"/>
      <w:divBdr>
        <w:top w:val="none" w:sz="0" w:space="0" w:color="auto"/>
        <w:left w:val="none" w:sz="0" w:space="0" w:color="auto"/>
        <w:bottom w:val="none" w:sz="0" w:space="0" w:color="auto"/>
        <w:right w:val="none" w:sz="0" w:space="0" w:color="auto"/>
      </w:divBdr>
      <w:divsChild>
        <w:div w:id="1661542607">
          <w:marLeft w:val="0"/>
          <w:marRight w:val="0"/>
          <w:marTop w:val="0"/>
          <w:marBottom w:val="0"/>
          <w:divBdr>
            <w:top w:val="none" w:sz="0" w:space="0" w:color="auto"/>
            <w:left w:val="none" w:sz="0" w:space="0" w:color="auto"/>
            <w:bottom w:val="none" w:sz="0" w:space="0" w:color="auto"/>
            <w:right w:val="none" w:sz="0" w:space="0" w:color="auto"/>
          </w:divBdr>
          <w:divsChild>
            <w:div w:id="1025054430">
              <w:marLeft w:val="0"/>
              <w:marRight w:val="0"/>
              <w:marTop w:val="0"/>
              <w:marBottom w:val="0"/>
              <w:divBdr>
                <w:top w:val="none" w:sz="0" w:space="0" w:color="auto"/>
                <w:left w:val="none" w:sz="0" w:space="0" w:color="auto"/>
                <w:bottom w:val="none" w:sz="0" w:space="0" w:color="auto"/>
                <w:right w:val="none" w:sz="0" w:space="0" w:color="auto"/>
              </w:divBdr>
              <w:divsChild>
                <w:div w:id="1184828295">
                  <w:marLeft w:val="0"/>
                  <w:marRight w:val="0"/>
                  <w:marTop w:val="0"/>
                  <w:marBottom w:val="0"/>
                  <w:divBdr>
                    <w:top w:val="none" w:sz="0" w:space="0" w:color="auto"/>
                    <w:left w:val="none" w:sz="0" w:space="0" w:color="auto"/>
                    <w:bottom w:val="none" w:sz="0" w:space="0" w:color="auto"/>
                    <w:right w:val="none" w:sz="0" w:space="0" w:color="auto"/>
                  </w:divBdr>
                </w:div>
              </w:divsChild>
            </w:div>
            <w:div w:id="1945726588">
              <w:marLeft w:val="0"/>
              <w:marRight w:val="0"/>
              <w:marTop w:val="0"/>
              <w:marBottom w:val="0"/>
              <w:divBdr>
                <w:top w:val="none" w:sz="0" w:space="0" w:color="auto"/>
                <w:left w:val="none" w:sz="0" w:space="0" w:color="auto"/>
                <w:bottom w:val="none" w:sz="0" w:space="0" w:color="auto"/>
                <w:right w:val="none" w:sz="0" w:space="0" w:color="auto"/>
              </w:divBdr>
              <w:divsChild>
                <w:div w:id="594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99945">
          <w:marLeft w:val="0"/>
          <w:marRight w:val="0"/>
          <w:marTop w:val="0"/>
          <w:marBottom w:val="0"/>
          <w:divBdr>
            <w:top w:val="none" w:sz="0" w:space="0" w:color="auto"/>
            <w:left w:val="none" w:sz="0" w:space="0" w:color="auto"/>
            <w:bottom w:val="none" w:sz="0" w:space="0" w:color="auto"/>
            <w:right w:val="none" w:sz="0" w:space="0" w:color="auto"/>
          </w:divBdr>
          <w:divsChild>
            <w:div w:id="296180969">
              <w:marLeft w:val="0"/>
              <w:marRight w:val="0"/>
              <w:marTop w:val="0"/>
              <w:marBottom w:val="0"/>
              <w:divBdr>
                <w:top w:val="none" w:sz="0" w:space="0" w:color="auto"/>
                <w:left w:val="none" w:sz="0" w:space="0" w:color="auto"/>
                <w:bottom w:val="none" w:sz="0" w:space="0" w:color="auto"/>
                <w:right w:val="none" w:sz="0" w:space="0" w:color="auto"/>
              </w:divBdr>
              <w:divsChild>
                <w:div w:id="769620814">
                  <w:marLeft w:val="0"/>
                  <w:marRight w:val="0"/>
                  <w:marTop w:val="0"/>
                  <w:marBottom w:val="0"/>
                  <w:divBdr>
                    <w:top w:val="none" w:sz="0" w:space="0" w:color="auto"/>
                    <w:left w:val="none" w:sz="0" w:space="0" w:color="auto"/>
                    <w:bottom w:val="none" w:sz="0" w:space="0" w:color="auto"/>
                    <w:right w:val="none" w:sz="0" w:space="0" w:color="auto"/>
                  </w:divBdr>
                </w:div>
              </w:divsChild>
            </w:div>
            <w:div w:id="389039417">
              <w:marLeft w:val="0"/>
              <w:marRight w:val="0"/>
              <w:marTop w:val="0"/>
              <w:marBottom w:val="0"/>
              <w:divBdr>
                <w:top w:val="none" w:sz="0" w:space="0" w:color="auto"/>
                <w:left w:val="none" w:sz="0" w:space="0" w:color="auto"/>
                <w:bottom w:val="none" w:sz="0" w:space="0" w:color="auto"/>
                <w:right w:val="none" w:sz="0" w:space="0" w:color="auto"/>
              </w:divBdr>
              <w:divsChild>
                <w:div w:id="969434938">
                  <w:marLeft w:val="0"/>
                  <w:marRight w:val="0"/>
                  <w:marTop w:val="0"/>
                  <w:marBottom w:val="0"/>
                  <w:divBdr>
                    <w:top w:val="none" w:sz="0" w:space="0" w:color="auto"/>
                    <w:left w:val="none" w:sz="0" w:space="0" w:color="auto"/>
                    <w:bottom w:val="none" w:sz="0" w:space="0" w:color="auto"/>
                    <w:right w:val="none" w:sz="0" w:space="0" w:color="auto"/>
                  </w:divBdr>
                </w:div>
                <w:div w:id="1422801494">
                  <w:marLeft w:val="0"/>
                  <w:marRight w:val="0"/>
                  <w:marTop w:val="0"/>
                  <w:marBottom w:val="0"/>
                  <w:divBdr>
                    <w:top w:val="none" w:sz="0" w:space="0" w:color="auto"/>
                    <w:left w:val="none" w:sz="0" w:space="0" w:color="auto"/>
                    <w:bottom w:val="none" w:sz="0" w:space="0" w:color="auto"/>
                    <w:right w:val="none" w:sz="0" w:space="0" w:color="auto"/>
                  </w:divBdr>
                </w:div>
              </w:divsChild>
            </w:div>
            <w:div w:id="639069223">
              <w:marLeft w:val="0"/>
              <w:marRight w:val="0"/>
              <w:marTop w:val="0"/>
              <w:marBottom w:val="0"/>
              <w:divBdr>
                <w:top w:val="none" w:sz="0" w:space="0" w:color="auto"/>
                <w:left w:val="none" w:sz="0" w:space="0" w:color="auto"/>
                <w:bottom w:val="none" w:sz="0" w:space="0" w:color="auto"/>
                <w:right w:val="none" w:sz="0" w:space="0" w:color="auto"/>
              </w:divBdr>
              <w:divsChild>
                <w:div w:id="9953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84781">
      <w:bodyDiv w:val="1"/>
      <w:marLeft w:val="0"/>
      <w:marRight w:val="0"/>
      <w:marTop w:val="0"/>
      <w:marBottom w:val="0"/>
      <w:divBdr>
        <w:top w:val="none" w:sz="0" w:space="0" w:color="auto"/>
        <w:left w:val="none" w:sz="0" w:space="0" w:color="auto"/>
        <w:bottom w:val="none" w:sz="0" w:space="0" w:color="auto"/>
        <w:right w:val="none" w:sz="0" w:space="0" w:color="auto"/>
      </w:divBdr>
      <w:divsChild>
        <w:div w:id="1078360267">
          <w:marLeft w:val="0"/>
          <w:marRight w:val="0"/>
          <w:marTop w:val="0"/>
          <w:marBottom w:val="0"/>
          <w:divBdr>
            <w:top w:val="none" w:sz="0" w:space="0" w:color="auto"/>
            <w:left w:val="none" w:sz="0" w:space="0" w:color="auto"/>
            <w:bottom w:val="none" w:sz="0" w:space="0" w:color="auto"/>
            <w:right w:val="none" w:sz="0" w:space="0" w:color="auto"/>
          </w:divBdr>
          <w:divsChild>
            <w:div w:id="532688507">
              <w:marLeft w:val="0"/>
              <w:marRight w:val="0"/>
              <w:marTop w:val="0"/>
              <w:marBottom w:val="0"/>
              <w:divBdr>
                <w:top w:val="none" w:sz="0" w:space="0" w:color="auto"/>
                <w:left w:val="none" w:sz="0" w:space="0" w:color="auto"/>
                <w:bottom w:val="none" w:sz="0" w:space="0" w:color="auto"/>
                <w:right w:val="none" w:sz="0" w:space="0" w:color="auto"/>
              </w:divBdr>
              <w:divsChild>
                <w:div w:id="21391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82019">
      <w:bodyDiv w:val="1"/>
      <w:marLeft w:val="0"/>
      <w:marRight w:val="0"/>
      <w:marTop w:val="0"/>
      <w:marBottom w:val="0"/>
      <w:divBdr>
        <w:top w:val="none" w:sz="0" w:space="0" w:color="auto"/>
        <w:left w:val="none" w:sz="0" w:space="0" w:color="auto"/>
        <w:bottom w:val="none" w:sz="0" w:space="0" w:color="auto"/>
        <w:right w:val="none" w:sz="0" w:space="0" w:color="auto"/>
      </w:divBdr>
    </w:div>
    <w:div w:id="696738195">
      <w:bodyDiv w:val="1"/>
      <w:marLeft w:val="0"/>
      <w:marRight w:val="0"/>
      <w:marTop w:val="0"/>
      <w:marBottom w:val="0"/>
      <w:divBdr>
        <w:top w:val="none" w:sz="0" w:space="0" w:color="auto"/>
        <w:left w:val="none" w:sz="0" w:space="0" w:color="auto"/>
        <w:bottom w:val="none" w:sz="0" w:space="0" w:color="auto"/>
        <w:right w:val="none" w:sz="0" w:space="0" w:color="auto"/>
      </w:divBdr>
    </w:div>
    <w:div w:id="753211344">
      <w:bodyDiv w:val="1"/>
      <w:marLeft w:val="0"/>
      <w:marRight w:val="0"/>
      <w:marTop w:val="0"/>
      <w:marBottom w:val="0"/>
      <w:divBdr>
        <w:top w:val="none" w:sz="0" w:space="0" w:color="auto"/>
        <w:left w:val="none" w:sz="0" w:space="0" w:color="auto"/>
        <w:bottom w:val="none" w:sz="0" w:space="0" w:color="auto"/>
        <w:right w:val="none" w:sz="0" w:space="0" w:color="auto"/>
      </w:divBdr>
    </w:div>
    <w:div w:id="773786470">
      <w:bodyDiv w:val="1"/>
      <w:marLeft w:val="0"/>
      <w:marRight w:val="0"/>
      <w:marTop w:val="0"/>
      <w:marBottom w:val="0"/>
      <w:divBdr>
        <w:top w:val="none" w:sz="0" w:space="0" w:color="auto"/>
        <w:left w:val="none" w:sz="0" w:space="0" w:color="auto"/>
        <w:bottom w:val="none" w:sz="0" w:space="0" w:color="auto"/>
        <w:right w:val="none" w:sz="0" w:space="0" w:color="auto"/>
      </w:divBdr>
      <w:divsChild>
        <w:div w:id="1990552094">
          <w:marLeft w:val="0"/>
          <w:marRight w:val="0"/>
          <w:marTop w:val="0"/>
          <w:marBottom w:val="0"/>
          <w:divBdr>
            <w:top w:val="none" w:sz="0" w:space="0" w:color="auto"/>
            <w:left w:val="none" w:sz="0" w:space="0" w:color="auto"/>
            <w:bottom w:val="none" w:sz="0" w:space="0" w:color="auto"/>
            <w:right w:val="none" w:sz="0" w:space="0" w:color="auto"/>
          </w:divBdr>
          <w:divsChild>
            <w:div w:id="18316370">
              <w:marLeft w:val="0"/>
              <w:marRight w:val="0"/>
              <w:marTop w:val="0"/>
              <w:marBottom w:val="0"/>
              <w:divBdr>
                <w:top w:val="none" w:sz="0" w:space="0" w:color="auto"/>
                <w:left w:val="none" w:sz="0" w:space="0" w:color="auto"/>
                <w:bottom w:val="none" w:sz="0" w:space="0" w:color="auto"/>
                <w:right w:val="none" w:sz="0" w:space="0" w:color="auto"/>
              </w:divBdr>
              <w:divsChild>
                <w:div w:id="1216046260">
                  <w:marLeft w:val="0"/>
                  <w:marRight w:val="0"/>
                  <w:marTop w:val="0"/>
                  <w:marBottom w:val="0"/>
                  <w:divBdr>
                    <w:top w:val="none" w:sz="0" w:space="0" w:color="auto"/>
                    <w:left w:val="none" w:sz="0" w:space="0" w:color="auto"/>
                    <w:bottom w:val="none" w:sz="0" w:space="0" w:color="auto"/>
                    <w:right w:val="none" w:sz="0" w:space="0" w:color="auto"/>
                  </w:divBdr>
                  <w:divsChild>
                    <w:div w:id="2063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48248">
      <w:bodyDiv w:val="1"/>
      <w:marLeft w:val="0"/>
      <w:marRight w:val="0"/>
      <w:marTop w:val="0"/>
      <w:marBottom w:val="0"/>
      <w:divBdr>
        <w:top w:val="none" w:sz="0" w:space="0" w:color="auto"/>
        <w:left w:val="none" w:sz="0" w:space="0" w:color="auto"/>
        <w:bottom w:val="none" w:sz="0" w:space="0" w:color="auto"/>
        <w:right w:val="none" w:sz="0" w:space="0" w:color="auto"/>
      </w:divBdr>
    </w:div>
    <w:div w:id="842164308">
      <w:bodyDiv w:val="1"/>
      <w:marLeft w:val="0"/>
      <w:marRight w:val="0"/>
      <w:marTop w:val="0"/>
      <w:marBottom w:val="0"/>
      <w:divBdr>
        <w:top w:val="none" w:sz="0" w:space="0" w:color="auto"/>
        <w:left w:val="none" w:sz="0" w:space="0" w:color="auto"/>
        <w:bottom w:val="none" w:sz="0" w:space="0" w:color="auto"/>
        <w:right w:val="none" w:sz="0" w:space="0" w:color="auto"/>
      </w:divBdr>
    </w:div>
    <w:div w:id="856500391">
      <w:bodyDiv w:val="1"/>
      <w:marLeft w:val="0"/>
      <w:marRight w:val="0"/>
      <w:marTop w:val="0"/>
      <w:marBottom w:val="0"/>
      <w:divBdr>
        <w:top w:val="none" w:sz="0" w:space="0" w:color="auto"/>
        <w:left w:val="none" w:sz="0" w:space="0" w:color="auto"/>
        <w:bottom w:val="none" w:sz="0" w:space="0" w:color="auto"/>
        <w:right w:val="none" w:sz="0" w:space="0" w:color="auto"/>
      </w:divBdr>
    </w:div>
    <w:div w:id="882403213">
      <w:bodyDiv w:val="1"/>
      <w:marLeft w:val="0"/>
      <w:marRight w:val="0"/>
      <w:marTop w:val="0"/>
      <w:marBottom w:val="0"/>
      <w:divBdr>
        <w:top w:val="none" w:sz="0" w:space="0" w:color="auto"/>
        <w:left w:val="none" w:sz="0" w:space="0" w:color="auto"/>
        <w:bottom w:val="none" w:sz="0" w:space="0" w:color="auto"/>
        <w:right w:val="none" w:sz="0" w:space="0" w:color="auto"/>
      </w:divBdr>
    </w:div>
    <w:div w:id="913704802">
      <w:bodyDiv w:val="1"/>
      <w:marLeft w:val="0"/>
      <w:marRight w:val="0"/>
      <w:marTop w:val="0"/>
      <w:marBottom w:val="0"/>
      <w:divBdr>
        <w:top w:val="none" w:sz="0" w:space="0" w:color="auto"/>
        <w:left w:val="none" w:sz="0" w:space="0" w:color="auto"/>
        <w:bottom w:val="none" w:sz="0" w:space="0" w:color="auto"/>
        <w:right w:val="none" w:sz="0" w:space="0" w:color="auto"/>
      </w:divBdr>
      <w:divsChild>
        <w:div w:id="1599293263">
          <w:marLeft w:val="0"/>
          <w:marRight w:val="0"/>
          <w:marTop w:val="0"/>
          <w:marBottom w:val="0"/>
          <w:divBdr>
            <w:top w:val="none" w:sz="0" w:space="0" w:color="auto"/>
            <w:left w:val="none" w:sz="0" w:space="0" w:color="auto"/>
            <w:bottom w:val="none" w:sz="0" w:space="0" w:color="auto"/>
            <w:right w:val="none" w:sz="0" w:space="0" w:color="auto"/>
          </w:divBdr>
          <w:divsChild>
            <w:div w:id="599021236">
              <w:marLeft w:val="0"/>
              <w:marRight w:val="0"/>
              <w:marTop w:val="0"/>
              <w:marBottom w:val="0"/>
              <w:divBdr>
                <w:top w:val="none" w:sz="0" w:space="0" w:color="auto"/>
                <w:left w:val="none" w:sz="0" w:space="0" w:color="auto"/>
                <w:bottom w:val="none" w:sz="0" w:space="0" w:color="auto"/>
                <w:right w:val="none" w:sz="0" w:space="0" w:color="auto"/>
              </w:divBdr>
              <w:divsChild>
                <w:div w:id="11887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43280">
      <w:bodyDiv w:val="1"/>
      <w:marLeft w:val="0"/>
      <w:marRight w:val="0"/>
      <w:marTop w:val="0"/>
      <w:marBottom w:val="0"/>
      <w:divBdr>
        <w:top w:val="none" w:sz="0" w:space="0" w:color="auto"/>
        <w:left w:val="none" w:sz="0" w:space="0" w:color="auto"/>
        <w:bottom w:val="none" w:sz="0" w:space="0" w:color="auto"/>
        <w:right w:val="none" w:sz="0" w:space="0" w:color="auto"/>
      </w:divBdr>
      <w:divsChild>
        <w:div w:id="1672681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814916">
      <w:bodyDiv w:val="1"/>
      <w:marLeft w:val="0"/>
      <w:marRight w:val="0"/>
      <w:marTop w:val="0"/>
      <w:marBottom w:val="0"/>
      <w:divBdr>
        <w:top w:val="none" w:sz="0" w:space="0" w:color="auto"/>
        <w:left w:val="none" w:sz="0" w:space="0" w:color="auto"/>
        <w:bottom w:val="none" w:sz="0" w:space="0" w:color="auto"/>
        <w:right w:val="none" w:sz="0" w:space="0" w:color="auto"/>
      </w:divBdr>
    </w:div>
    <w:div w:id="1016080282">
      <w:bodyDiv w:val="1"/>
      <w:marLeft w:val="0"/>
      <w:marRight w:val="0"/>
      <w:marTop w:val="0"/>
      <w:marBottom w:val="0"/>
      <w:divBdr>
        <w:top w:val="none" w:sz="0" w:space="0" w:color="auto"/>
        <w:left w:val="none" w:sz="0" w:space="0" w:color="auto"/>
        <w:bottom w:val="none" w:sz="0" w:space="0" w:color="auto"/>
        <w:right w:val="none" w:sz="0" w:space="0" w:color="auto"/>
      </w:divBdr>
    </w:div>
    <w:div w:id="1038816804">
      <w:bodyDiv w:val="1"/>
      <w:marLeft w:val="0"/>
      <w:marRight w:val="0"/>
      <w:marTop w:val="0"/>
      <w:marBottom w:val="0"/>
      <w:divBdr>
        <w:top w:val="none" w:sz="0" w:space="0" w:color="auto"/>
        <w:left w:val="none" w:sz="0" w:space="0" w:color="auto"/>
        <w:bottom w:val="none" w:sz="0" w:space="0" w:color="auto"/>
        <w:right w:val="none" w:sz="0" w:space="0" w:color="auto"/>
      </w:divBdr>
    </w:div>
    <w:div w:id="1057899329">
      <w:bodyDiv w:val="1"/>
      <w:marLeft w:val="0"/>
      <w:marRight w:val="0"/>
      <w:marTop w:val="0"/>
      <w:marBottom w:val="0"/>
      <w:divBdr>
        <w:top w:val="none" w:sz="0" w:space="0" w:color="auto"/>
        <w:left w:val="none" w:sz="0" w:space="0" w:color="auto"/>
        <w:bottom w:val="none" w:sz="0" w:space="0" w:color="auto"/>
        <w:right w:val="none" w:sz="0" w:space="0" w:color="auto"/>
      </w:divBdr>
    </w:div>
    <w:div w:id="1063870490">
      <w:bodyDiv w:val="1"/>
      <w:marLeft w:val="0"/>
      <w:marRight w:val="0"/>
      <w:marTop w:val="0"/>
      <w:marBottom w:val="0"/>
      <w:divBdr>
        <w:top w:val="none" w:sz="0" w:space="0" w:color="auto"/>
        <w:left w:val="none" w:sz="0" w:space="0" w:color="auto"/>
        <w:bottom w:val="none" w:sz="0" w:space="0" w:color="auto"/>
        <w:right w:val="none" w:sz="0" w:space="0" w:color="auto"/>
      </w:divBdr>
    </w:div>
    <w:div w:id="1064909407">
      <w:bodyDiv w:val="1"/>
      <w:marLeft w:val="0"/>
      <w:marRight w:val="0"/>
      <w:marTop w:val="0"/>
      <w:marBottom w:val="0"/>
      <w:divBdr>
        <w:top w:val="none" w:sz="0" w:space="0" w:color="auto"/>
        <w:left w:val="none" w:sz="0" w:space="0" w:color="auto"/>
        <w:bottom w:val="none" w:sz="0" w:space="0" w:color="auto"/>
        <w:right w:val="none" w:sz="0" w:space="0" w:color="auto"/>
      </w:divBdr>
      <w:divsChild>
        <w:div w:id="1850176045">
          <w:marLeft w:val="0"/>
          <w:marRight w:val="0"/>
          <w:marTop w:val="0"/>
          <w:marBottom w:val="0"/>
          <w:divBdr>
            <w:top w:val="none" w:sz="0" w:space="0" w:color="auto"/>
            <w:left w:val="none" w:sz="0" w:space="0" w:color="auto"/>
            <w:bottom w:val="none" w:sz="0" w:space="0" w:color="auto"/>
            <w:right w:val="none" w:sz="0" w:space="0" w:color="auto"/>
          </w:divBdr>
          <w:divsChild>
            <w:div w:id="286621594">
              <w:marLeft w:val="0"/>
              <w:marRight w:val="0"/>
              <w:marTop w:val="0"/>
              <w:marBottom w:val="0"/>
              <w:divBdr>
                <w:top w:val="none" w:sz="0" w:space="0" w:color="auto"/>
                <w:left w:val="none" w:sz="0" w:space="0" w:color="auto"/>
                <w:bottom w:val="none" w:sz="0" w:space="0" w:color="auto"/>
                <w:right w:val="none" w:sz="0" w:space="0" w:color="auto"/>
              </w:divBdr>
              <w:divsChild>
                <w:div w:id="8601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57908">
      <w:bodyDiv w:val="1"/>
      <w:marLeft w:val="0"/>
      <w:marRight w:val="0"/>
      <w:marTop w:val="0"/>
      <w:marBottom w:val="0"/>
      <w:divBdr>
        <w:top w:val="none" w:sz="0" w:space="0" w:color="auto"/>
        <w:left w:val="none" w:sz="0" w:space="0" w:color="auto"/>
        <w:bottom w:val="none" w:sz="0" w:space="0" w:color="auto"/>
        <w:right w:val="none" w:sz="0" w:space="0" w:color="auto"/>
      </w:divBdr>
    </w:div>
    <w:div w:id="1078358958">
      <w:bodyDiv w:val="1"/>
      <w:marLeft w:val="0"/>
      <w:marRight w:val="0"/>
      <w:marTop w:val="0"/>
      <w:marBottom w:val="0"/>
      <w:divBdr>
        <w:top w:val="none" w:sz="0" w:space="0" w:color="auto"/>
        <w:left w:val="none" w:sz="0" w:space="0" w:color="auto"/>
        <w:bottom w:val="none" w:sz="0" w:space="0" w:color="auto"/>
        <w:right w:val="none" w:sz="0" w:space="0" w:color="auto"/>
      </w:divBdr>
      <w:divsChild>
        <w:div w:id="1644313292">
          <w:marLeft w:val="0"/>
          <w:marRight w:val="0"/>
          <w:marTop w:val="0"/>
          <w:marBottom w:val="0"/>
          <w:divBdr>
            <w:top w:val="none" w:sz="0" w:space="0" w:color="auto"/>
            <w:left w:val="none" w:sz="0" w:space="0" w:color="auto"/>
            <w:bottom w:val="none" w:sz="0" w:space="0" w:color="auto"/>
            <w:right w:val="none" w:sz="0" w:space="0" w:color="auto"/>
          </w:divBdr>
          <w:divsChild>
            <w:div w:id="515534508">
              <w:marLeft w:val="0"/>
              <w:marRight w:val="0"/>
              <w:marTop w:val="0"/>
              <w:marBottom w:val="0"/>
              <w:divBdr>
                <w:top w:val="none" w:sz="0" w:space="0" w:color="auto"/>
                <w:left w:val="none" w:sz="0" w:space="0" w:color="auto"/>
                <w:bottom w:val="none" w:sz="0" w:space="0" w:color="auto"/>
                <w:right w:val="none" w:sz="0" w:space="0" w:color="auto"/>
              </w:divBdr>
              <w:divsChild>
                <w:div w:id="1492256139">
                  <w:marLeft w:val="0"/>
                  <w:marRight w:val="0"/>
                  <w:marTop w:val="0"/>
                  <w:marBottom w:val="0"/>
                  <w:divBdr>
                    <w:top w:val="none" w:sz="0" w:space="0" w:color="auto"/>
                    <w:left w:val="none" w:sz="0" w:space="0" w:color="auto"/>
                    <w:bottom w:val="none" w:sz="0" w:space="0" w:color="auto"/>
                    <w:right w:val="none" w:sz="0" w:space="0" w:color="auto"/>
                  </w:divBdr>
                  <w:divsChild>
                    <w:div w:id="1639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3458">
      <w:bodyDiv w:val="1"/>
      <w:marLeft w:val="0"/>
      <w:marRight w:val="0"/>
      <w:marTop w:val="0"/>
      <w:marBottom w:val="0"/>
      <w:divBdr>
        <w:top w:val="none" w:sz="0" w:space="0" w:color="auto"/>
        <w:left w:val="none" w:sz="0" w:space="0" w:color="auto"/>
        <w:bottom w:val="none" w:sz="0" w:space="0" w:color="auto"/>
        <w:right w:val="none" w:sz="0" w:space="0" w:color="auto"/>
      </w:divBdr>
    </w:div>
    <w:div w:id="1107047398">
      <w:bodyDiv w:val="1"/>
      <w:marLeft w:val="0"/>
      <w:marRight w:val="0"/>
      <w:marTop w:val="0"/>
      <w:marBottom w:val="0"/>
      <w:divBdr>
        <w:top w:val="none" w:sz="0" w:space="0" w:color="auto"/>
        <w:left w:val="none" w:sz="0" w:space="0" w:color="auto"/>
        <w:bottom w:val="none" w:sz="0" w:space="0" w:color="auto"/>
        <w:right w:val="none" w:sz="0" w:space="0" w:color="auto"/>
      </w:divBdr>
    </w:div>
    <w:div w:id="1110005300">
      <w:bodyDiv w:val="1"/>
      <w:marLeft w:val="0"/>
      <w:marRight w:val="0"/>
      <w:marTop w:val="0"/>
      <w:marBottom w:val="0"/>
      <w:divBdr>
        <w:top w:val="none" w:sz="0" w:space="0" w:color="auto"/>
        <w:left w:val="none" w:sz="0" w:space="0" w:color="auto"/>
        <w:bottom w:val="none" w:sz="0" w:space="0" w:color="auto"/>
        <w:right w:val="none" w:sz="0" w:space="0" w:color="auto"/>
      </w:divBdr>
      <w:divsChild>
        <w:div w:id="1523199751">
          <w:marLeft w:val="0"/>
          <w:marRight w:val="0"/>
          <w:marTop w:val="0"/>
          <w:marBottom w:val="0"/>
          <w:divBdr>
            <w:top w:val="none" w:sz="0" w:space="0" w:color="auto"/>
            <w:left w:val="none" w:sz="0" w:space="0" w:color="auto"/>
            <w:bottom w:val="none" w:sz="0" w:space="0" w:color="auto"/>
            <w:right w:val="none" w:sz="0" w:space="0" w:color="auto"/>
          </w:divBdr>
          <w:divsChild>
            <w:div w:id="1470591607">
              <w:marLeft w:val="0"/>
              <w:marRight w:val="0"/>
              <w:marTop w:val="0"/>
              <w:marBottom w:val="0"/>
              <w:divBdr>
                <w:top w:val="none" w:sz="0" w:space="0" w:color="auto"/>
                <w:left w:val="none" w:sz="0" w:space="0" w:color="auto"/>
                <w:bottom w:val="none" w:sz="0" w:space="0" w:color="auto"/>
                <w:right w:val="none" w:sz="0" w:space="0" w:color="auto"/>
              </w:divBdr>
              <w:divsChild>
                <w:div w:id="13736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70278">
      <w:bodyDiv w:val="1"/>
      <w:marLeft w:val="0"/>
      <w:marRight w:val="0"/>
      <w:marTop w:val="0"/>
      <w:marBottom w:val="0"/>
      <w:divBdr>
        <w:top w:val="none" w:sz="0" w:space="0" w:color="auto"/>
        <w:left w:val="none" w:sz="0" w:space="0" w:color="auto"/>
        <w:bottom w:val="none" w:sz="0" w:space="0" w:color="auto"/>
        <w:right w:val="none" w:sz="0" w:space="0" w:color="auto"/>
      </w:divBdr>
    </w:div>
    <w:div w:id="1147043299">
      <w:bodyDiv w:val="1"/>
      <w:marLeft w:val="0"/>
      <w:marRight w:val="0"/>
      <w:marTop w:val="0"/>
      <w:marBottom w:val="0"/>
      <w:divBdr>
        <w:top w:val="none" w:sz="0" w:space="0" w:color="auto"/>
        <w:left w:val="none" w:sz="0" w:space="0" w:color="auto"/>
        <w:bottom w:val="none" w:sz="0" w:space="0" w:color="auto"/>
        <w:right w:val="none" w:sz="0" w:space="0" w:color="auto"/>
      </w:divBdr>
    </w:div>
    <w:div w:id="1179584387">
      <w:bodyDiv w:val="1"/>
      <w:marLeft w:val="0"/>
      <w:marRight w:val="0"/>
      <w:marTop w:val="0"/>
      <w:marBottom w:val="0"/>
      <w:divBdr>
        <w:top w:val="none" w:sz="0" w:space="0" w:color="auto"/>
        <w:left w:val="none" w:sz="0" w:space="0" w:color="auto"/>
        <w:bottom w:val="none" w:sz="0" w:space="0" w:color="auto"/>
        <w:right w:val="none" w:sz="0" w:space="0" w:color="auto"/>
      </w:divBdr>
    </w:div>
    <w:div w:id="1195193175">
      <w:bodyDiv w:val="1"/>
      <w:marLeft w:val="0"/>
      <w:marRight w:val="0"/>
      <w:marTop w:val="0"/>
      <w:marBottom w:val="0"/>
      <w:divBdr>
        <w:top w:val="none" w:sz="0" w:space="0" w:color="auto"/>
        <w:left w:val="none" w:sz="0" w:space="0" w:color="auto"/>
        <w:bottom w:val="none" w:sz="0" w:space="0" w:color="auto"/>
        <w:right w:val="none" w:sz="0" w:space="0" w:color="auto"/>
      </w:divBdr>
    </w:div>
    <w:div w:id="1225876857">
      <w:bodyDiv w:val="1"/>
      <w:marLeft w:val="0"/>
      <w:marRight w:val="0"/>
      <w:marTop w:val="0"/>
      <w:marBottom w:val="0"/>
      <w:divBdr>
        <w:top w:val="none" w:sz="0" w:space="0" w:color="auto"/>
        <w:left w:val="none" w:sz="0" w:space="0" w:color="auto"/>
        <w:bottom w:val="none" w:sz="0" w:space="0" w:color="auto"/>
        <w:right w:val="none" w:sz="0" w:space="0" w:color="auto"/>
      </w:divBdr>
      <w:divsChild>
        <w:div w:id="848980814">
          <w:marLeft w:val="0"/>
          <w:marRight w:val="0"/>
          <w:marTop w:val="0"/>
          <w:marBottom w:val="0"/>
          <w:divBdr>
            <w:top w:val="none" w:sz="0" w:space="0" w:color="auto"/>
            <w:left w:val="none" w:sz="0" w:space="0" w:color="auto"/>
            <w:bottom w:val="none" w:sz="0" w:space="0" w:color="auto"/>
            <w:right w:val="none" w:sz="0" w:space="0" w:color="auto"/>
          </w:divBdr>
          <w:divsChild>
            <w:div w:id="559903700">
              <w:marLeft w:val="0"/>
              <w:marRight w:val="0"/>
              <w:marTop w:val="0"/>
              <w:marBottom w:val="0"/>
              <w:divBdr>
                <w:top w:val="none" w:sz="0" w:space="0" w:color="auto"/>
                <w:left w:val="none" w:sz="0" w:space="0" w:color="auto"/>
                <w:bottom w:val="none" w:sz="0" w:space="0" w:color="auto"/>
                <w:right w:val="none" w:sz="0" w:space="0" w:color="auto"/>
              </w:divBdr>
              <w:divsChild>
                <w:div w:id="11821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65549">
      <w:bodyDiv w:val="1"/>
      <w:marLeft w:val="0"/>
      <w:marRight w:val="0"/>
      <w:marTop w:val="0"/>
      <w:marBottom w:val="0"/>
      <w:divBdr>
        <w:top w:val="none" w:sz="0" w:space="0" w:color="auto"/>
        <w:left w:val="none" w:sz="0" w:space="0" w:color="auto"/>
        <w:bottom w:val="none" w:sz="0" w:space="0" w:color="auto"/>
        <w:right w:val="none" w:sz="0" w:space="0" w:color="auto"/>
      </w:divBdr>
      <w:divsChild>
        <w:div w:id="1304191648">
          <w:marLeft w:val="0"/>
          <w:marRight w:val="0"/>
          <w:marTop w:val="0"/>
          <w:marBottom w:val="0"/>
          <w:divBdr>
            <w:top w:val="none" w:sz="0" w:space="0" w:color="auto"/>
            <w:left w:val="none" w:sz="0" w:space="0" w:color="auto"/>
            <w:bottom w:val="none" w:sz="0" w:space="0" w:color="auto"/>
            <w:right w:val="none" w:sz="0" w:space="0" w:color="auto"/>
          </w:divBdr>
          <w:divsChild>
            <w:div w:id="587350716">
              <w:marLeft w:val="0"/>
              <w:marRight w:val="0"/>
              <w:marTop w:val="0"/>
              <w:marBottom w:val="0"/>
              <w:divBdr>
                <w:top w:val="none" w:sz="0" w:space="0" w:color="auto"/>
                <w:left w:val="none" w:sz="0" w:space="0" w:color="auto"/>
                <w:bottom w:val="none" w:sz="0" w:space="0" w:color="auto"/>
                <w:right w:val="none" w:sz="0" w:space="0" w:color="auto"/>
              </w:divBdr>
              <w:divsChild>
                <w:div w:id="18823743">
                  <w:marLeft w:val="0"/>
                  <w:marRight w:val="0"/>
                  <w:marTop w:val="0"/>
                  <w:marBottom w:val="0"/>
                  <w:divBdr>
                    <w:top w:val="none" w:sz="0" w:space="0" w:color="auto"/>
                    <w:left w:val="none" w:sz="0" w:space="0" w:color="auto"/>
                    <w:bottom w:val="none" w:sz="0" w:space="0" w:color="auto"/>
                    <w:right w:val="none" w:sz="0" w:space="0" w:color="auto"/>
                  </w:divBdr>
                  <w:divsChild>
                    <w:div w:id="9823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356353">
      <w:bodyDiv w:val="1"/>
      <w:marLeft w:val="0"/>
      <w:marRight w:val="0"/>
      <w:marTop w:val="0"/>
      <w:marBottom w:val="0"/>
      <w:divBdr>
        <w:top w:val="none" w:sz="0" w:space="0" w:color="auto"/>
        <w:left w:val="none" w:sz="0" w:space="0" w:color="auto"/>
        <w:bottom w:val="none" w:sz="0" w:space="0" w:color="auto"/>
        <w:right w:val="none" w:sz="0" w:space="0" w:color="auto"/>
      </w:divBdr>
    </w:div>
    <w:div w:id="1269387842">
      <w:bodyDiv w:val="1"/>
      <w:marLeft w:val="0"/>
      <w:marRight w:val="0"/>
      <w:marTop w:val="0"/>
      <w:marBottom w:val="0"/>
      <w:divBdr>
        <w:top w:val="none" w:sz="0" w:space="0" w:color="auto"/>
        <w:left w:val="none" w:sz="0" w:space="0" w:color="auto"/>
        <w:bottom w:val="none" w:sz="0" w:space="0" w:color="auto"/>
        <w:right w:val="none" w:sz="0" w:space="0" w:color="auto"/>
      </w:divBdr>
      <w:divsChild>
        <w:div w:id="997418940">
          <w:marLeft w:val="0"/>
          <w:marRight w:val="0"/>
          <w:marTop w:val="0"/>
          <w:marBottom w:val="0"/>
          <w:divBdr>
            <w:top w:val="none" w:sz="0" w:space="0" w:color="auto"/>
            <w:left w:val="none" w:sz="0" w:space="0" w:color="auto"/>
            <w:bottom w:val="none" w:sz="0" w:space="0" w:color="auto"/>
            <w:right w:val="none" w:sz="0" w:space="0" w:color="auto"/>
          </w:divBdr>
          <w:divsChild>
            <w:div w:id="1855611655">
              <w:marLeft w:val="0"/>
              <w:marRight w:val="0"/>
              <w:marTop w:val="0"/>
              <w:marBottom w:val="0"/>
              <w:divBdr>
                <w:top w:val="none" w:sz="0" w:space="0" w:color="auto"/>
                <w:left w:val="none" w:sz="0" w:space="0" w:color="auto"/>
                <w:bottom w:val="none" w:sz="0" w:space="0" w:color="auto"/>
                <w:right w:val="none" w:sz="0" w:space="0" w:color="auto"/>
              </w:divBdr>
              <w:divsChild>
                <w:div w:id="13135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9191">
      <w:bodyDiv w:val="1"/>
      <w:marLeft w:val="0"/>
      <w:marRight w:val="0"/>
      <w:marTop w:val="0"/>
      <w:marBottom w:val="0"/>
      <w:divBdr>
        <w:top w:val="none" w:sz="0" w:space="0" w:color="auto"/>
        <w:left w:val="none" w:sz="0" w:space="0" w:color="auto"/>
        <w:bottom w:val="none" w:sz="0" w:space="0" w:color="auto"/>
        <w:right w:val="none" w:sz="0" w:space="0" w:color="auto"/>
      </w:divBdr>
      <w:divsChild>
        <w:div w:id="978999307">
          <w:marLeft w:val="0"/>
          <w:marRight w:val="0"/>
          <w:marTop w:val="0"/>
          <w:marBottom w:val="0"/>
          <w:divBdr>
            <w:top w:val="none" w:sz="0" w:space="0" w:color="auto"/>
            <w:left w:val="none" w:sz="0" w:space="0" w:color="auto"/>
            <w:bottom w:val="none" w:sz="0" w:space="0" w:color="auto"/>
            <w:right w:val="none" w:sz="0" w:space="0" w:color="auto"/>
          </w:divBdr>
          <w:divsChild>
            <w:div w:id="1663771151">
              <w:marLeft w:val="0"/>
              <w:marRight w:val="0"/>
              <w:marTop w:val="0"/>
              <w:marBottom w:val="0"/>
              <w:divBdr>
                <w:top w:val="none" w:sz="0" w:space="0" w:color="auto"/>
                <w:left w:val="none" w:sz="0" w:space="0" w:color="auto"/>
                <w:bottom w:val="none" w:sz="0" w:space="0" w:color="auto"/>
                <w:right w:val="none" w:sz="0" w:space="0" w:color="auto"/>
              </w:divBdr>
              <w:divsChild>
                <w:div w:id="1885209846">
                  <w:marLeft w:val="0"/>
                  <w:marRight w:val="0"/>
                  <w:marTop w:val="0"/>
                  <w:marBottom w:val="0"/>
                  <w:divBdr>
                    <w:top w:val="none" w:sz="0" w:space="0" w:color="auto"/>
                    <w:left w:val="none" w:sz="0" w:space="0" w:color="auto"/>
                    <w:bottom w:val="none" w:sz="0" w:space="0" w:color="auto"/>
                    <w:right w:val="none" w:sz="0" w:space="0" w:color="auto"/>
                  </w:divBdr>
                  <w:divsChild>
                    <w:div w:id="2656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9410">
      <w:bodyDiv w:val="1"/>
      <w:marLeft w:val="0"/>
      <w:marRight w:val="0"/>
      <w:marTop w:val="0"/>
      <w:marBottom w:val="0"/>
      <w:divBdr>
        <w:top w:val="none" w:sz="0" w:space="0" w:color="auto"/>
        <w:left w:val="none" w:sz="0" w:space="0" w:color="auto"/>
        <w:bottom w:val="none" w:sz="0" w:space="0" w:color="auto"/>
        <w:right w:val="none" w:sz="0" w:space="0" w:color="auto"/>
      </w:divBdr>
    </w:div>
    <w:div w:id="1362435868">
      <w:bodyDiv w:val="1"/>
      <w:marLeft w:val="0"/>
      <w:marRight w:val="0"/>
      <w:marTop w:val="0"/>
      <w:marBottom w:val="0"/>
      <w:divBdr>
        <w:top w:val="none" w:sz="0" w:space="0" w:color="auto"/>
        <w:left w:val="none" w:sz="0" w:space="0" w:color="auto"/>
        <w:bottom w:val="none" w:sz="0" w:space="0" w:color="auto"/>
        <w:right w:val="none" w:sz="0" w:space="0" w:color="auto"/>
      </w:divBdr>
    </w:div>
    <w:div w:id="1389841165">
      <w:bodyDiv w:val="1"/>
      <w:marLeft w:val="0"/>
      <w:marRight w:val="0"/>
      <w:marTop w:val="0"/>
      <w:marBottom w:val="0"/>
      <w:divBdr>
        <w:top w:val="none" w:sz="0" w:space="0" w:color="auto"/>
        <w:left w:val="none" w:sz="0" w:space="0" w:color="auto"/>
        <w:bottom w:val="none" w:sz="0" w:space="0" w:color="auto"/>
        <w:right w:val="none" w:sz="0" w:space="0" w:color="auto"/>
      </w:divBdr>
      <w:divsChild>
        <w:div w:id="85424796">
          <w:marLeft w:val="0"/>
          <w:marRight w:val="0"/>
          <w:marTop w:val="0"/>
          <w:marBottom w:val="0"/>
          <w:divBdr>
            <w:top w:val="none" w:sz="0" w:space="0" w:color="auto"/>
            <w:left w:val="none" w:sz="0" w:space="0" w:color="auto"/>
            <w:bottom w:val="none" w:sz="0" w:space="0" w:color="auto"/>
            <w:right w:val="none" w:sz="0" w:space="0" w:color="auto"/>
          </w:divBdr>
          <w:divsChild>
            <w:div w:id="1836415588">
              <w:marLeft w:val="0"/>
              <w:marRight w:val="0"/>
              <w:marTop w:val="0"/>
              <w:marBottom w:val="0"/>
              <w:divBdr>
                <w:top w:val="none" w:sz="0" w:space="0" w:color="auto"/>
                <w:left w:val="none" w:sz="0" w:space="0" w:color="auto"/>
                <w:bottom w:val="none" w:sz="0" w:space="0" w:color="auto"/>
                <w:right w:val="none" w:sz="0" w:space="0" w:color="auto"/>
              </w:divBdr>
              <w:divsChild>
                <w:div w:id="5407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4945">
      <w:bodyDiv w:val="1"/>
      <w:marLeft w:val="0"/>
      <w:marRight w:val="0"/>
      <w:marTop w:val="0"/>
      <w:marBottom w:val="0"/>
      <w:divBdr>
        <w:top w:val="none" w:sz="0" w:space="0" w:color="auto"/>
        <w:left w:val="none" w:sz="0" w:space="0" w:color="auto"/>
        <w:bottom w:val="none" w:sz="0" w:space="0" w:color="auto"/>
        <w:right w:val="none" w:sz="0" w:space="0" w:color="auto"/>
      </w:divBdr>
      <w:divsChild>
        <w:div w:id="2115898718">
          <w:marLeft w:val="0"/>
          <w:marRight w:val="0"/>
          <w:marTop w:val="0"/>
          <w:marBottom w:val="0"/>
          <w:divBdr>
            <w:top w:val="none" w:sz="0" w:space="0" w:color="auto"/>
            <w:left w:val="none" w:sz="0" w:space="0" w:color="auto"/>
            <w:bottom w:val="none" w:sz="0" w:space="0" w:color="auto"/>
            <w:right w:val="none" w:sz="0" w:space="0" w:color="auto"/>
          </w:divBdr>
          <w:divsChild>
            <w:div w:id="663317004">
              <w:marLeft w:val="0"/>
              <w:marRight w:val="0"/>
              <w:marTop w:val="0"/>
              <w:marBottom w:val="0"/>
              <w:divBdr>
                <w:top w:val="none" w:sz="0" w:space="0" w:color="auto"/>
                <w:left w:val="none" w:sz="0" w:space="0" w:color="auto"/>
                <w:bottom w:val="none" w:sz="0" w:space="0" w:color="auto"/>
                <w:right w:val="none" w:sz="0" w:space="0" w:color="auto"/>
              </w:divBdr>
              <w:divsChild>
                <w:div w:id="628752545">
                  <w:marLeft w:val="0"/>
                  <w:marRight w:val="0"/>
                  <w:marTop w:val="0"/>
                  <w:marBottom w:val="0"/>
                  <w:divBdr>
                    <w:top w:val="none" w:sz="0" w:space="0" w:color="auto"/>
                    <w:left w:val="none" w:sz="0" w:space="0" w:color="auto"/>
                    <w:bottom w:val="none" w:sz="0" w:space="0" w:color="auto"/>
                    <w:right w:val="none" w:sz="0" w:space="0" w:color="auto"/>
                  </w:divBdr>
                  <w:divsChild>
                    <w:div w:id="5680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94486">
      <w:bodyDiv w:val="1"/>
      <w:marLeft w:val="0"/>
      <w:marRight w:val="0"/>
      <w:marTop w:val="0"/>
      <w:marBottom w:val="0"/>
      <w:divBdr>
        <w:top w:val="none" w:sz="0" w:space="0" w:color="auto"/>
        <w:left w:val="none" w:sz="0" w:space="0" w:color="auto"/>
        <w:bottom w:val="none" w:sz="0" w:space="0" w:color="auto"/>
        <w:right w:val="none" w:sz="0" w:space="0" w:color="auto"/>
      </w:divBdr>
    </w:div>
    <w:div w:id="1521699318">
      <w:bodyDiv w:val="1"/>
      <w:marLeft w:val="0"/>
      <w:marRight w:val="0"/>
      <w:marTop w:val="0"/>
      <w:marBottom w:val="0"/>
      <w:divBdr>
        <w:top w:val="none" w:sz="0" w:space="0" w:color="auto"/>
        <w:left w:val="none" w:sz="0" w:space="0" w:color="auto"/>
        <w:bottom w:val="none" w:sz="0" w:space="0" w:color="auto"/>
        <w:right w:val="none" w:sz="0" w:space="0" w:color="auto"/>
      </w:divBdr>
    </w:div>
    <w:div w:id="1532180220">
      <w:bodyDiv w:val="1"/>
      <w:marLeft w:val="0"/>
      <w:marRight w:val="0"/>
      <w:marTop w:val="0"/>
      <w:marBottom w:val="0"/>
      <w:divBdr>
        <w:top w:val="none" w:sz="0" w:space="0" w:color="auto"/>
        <w:left w:val="none" w:sz="0" w:space="0" w:color="auto"/>
        <w:bottom w:val="none" w:sz="0" w:space="0" w:color="auto"/>
        <w:right w:val="none" w:sz="0" w:space="0" w:color="auto"/>
      </w:divBdr>
    </w:div>
    <w:div w:id="1533223407">
      <w:bodyDiv w:val="1"/>
      <w:marLeft w:val="0"/>
      <w:marRight w:val="0"/>
      <w:marTop w:val="0"/>
      <w:marBottom w:val="0"/>
      <w:divBdr>
        <w:top w:val="none" w:sz="0" w:space="0" w:color="auto"/>
        <w:left w:val="none" w:sz="0" w:space="0" w:color="auto"/>
        <w:bottom w:val="none" w:sz="0" w:space="0" w:color="auto"/>
        <w:right w:val="none" w:sz="0" w:space="0" w:color="auto"/>
      </w:divBdr>
      <w:divsChild>
        <w:div w:id="946545532">
          <w:marLeft w:val="0"/>
          <w:marRight w:val="0"/>
          <w:marTop w:val="0"/>
          <w:marBottom w:val="0"/>
          <w:divBdr>
            <w:top w:val="none" w:sz="0" w:space="0" w:color="auto"/>
            <w:left w:val="none" w:sz="0" w:space="0" w:color="auto"/>
            <w:bottom w:val="none" w:sz="0" w:space="0" w:color="auto"/>
            <w:right w:val="none" w:sz="0" w:space="0" w:color="auto"/>
          </w:divBdr>
          <w:divsChild>
            <w:div w:id="1990286063">
              <w:marLeft w:val="0"/>
              <w:marRight w:val="0"/>
              <w:marTop w:val="0"/>
              <w:marBottom w:val="0"/>
              <w:divBdr>
                <w:top w:val="none" w:sz="0" w:space="0" w:color="auto"/>
                <w:left w:val="none" w:sz="0" w:space="0" w:color="auto"/>
                <w:bottom w:val="none" w:sz="0" w:space="0" w:color="auto"/>
                <w:right w:val="none" w:sz="0" w:space="0" w:color="auto"/>
              </w:divBdr>
              <w:divsChild>
                <w:div w:id="991324681">
                  <w:marLeft w:val="0"/>
                  <w:marRight w:val="0"/>
                  <w:marTop w:val="0"/>
                  <w:marBottom w:val="0"/>
                  <w:divBdr>
                    <w:top w:val="none" w:sz="0" w:space="0" w:color="auto"/>
                    <w:left w:val="none" w:sz="0" w:space="0" w:color="auto"/>
                    <w:bottom w:val="none" w:sz="0" w:space="0" w:color="auto"/>
                    <w:right w:val="none" w:sz="0" w:space="0" w:color="auto"/>
                  </w:divBdr>
                  <w:divsChild>
                    <w:div w:id="7258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15468">
      <w:bodyDiv w:val="1"/>
      <w:marLeft w:val="0"/>
      <w:marRight w:val="0"/>
      <w:marTop w:val="0"/>
      <w:marBottom w:val="0"/>
      <w:divBdr>
        <w:top w:val="none" w:sz="0" w:space="0" w:color="auto"/>
        <w:left w:val="none" w:sz="0" w:space="0" w:color="auto"/>
        <w:bottom w:val="none" w:sz="0" w:space="0" w:color="auto"/>
        <w:right w:val="none" w:sz="0" w:space="0" w:color="auto"/>
      </w:divBdr>
      <w:divsChild>
        <w:div w:id="1635526588">
          <w:marLeft w:val="0"/>
          <w:marRight w:val="0"/>
          <w:marTop w:val="0"/>
          <w:marBottom w:val="0"/>
          <w:divBdr>
            <w:top w:val="none" w:sz="0" w:space="0" w:color="auto"/>
            <w:left w:val="none" w:sz="0" w:space="0" w:color="auto"/>
            <w:bottom w:val="none" w:sz="0" w:space="0" w:color="auto"/>
            <w:right w:val="none" w:sz="0" w:space="0" w:color="auto"/>
          </w:divBdr>
          <w:divsChild>
            <w:div w:id="488444875">
              <w:marLeft w:val="0"/>
              <w:marRight w:val="0"/>
              <w:marTop w:val="0"/>
              <w:marBottom w:val="0"/>
              <w:divBdr>
                <w:top w:val="none" w:sz="0" w:space="0" w:color="auto"/>
                <w:left w:val="none" w:sz="0" w:space="0" w:color="auto"/>
                <w:bottom w:val="none" w:sz="0" w:space="0" w:color="auto"/>
                <w:right w:val="none" w:sz="0" w:space="0" w:color="auto"/>
              </w:divBdr>
              <w:divsChild>
                <w:div w:id="1845784298">
                  <w:marLeft w:val="0"/>
                  <w:marRight w:val="0"/>
                  <w:marTop w:val="0"/>
                  <w:marBottom w:val="0"/>
                  <w:divBdr>
                    <w:top w:val="none" w:sz="0" w:space="0" w:color="auto"/>
                    <w:left w:val="none" w:sz="0" w:space="0" w:color="auto"/>
                    <w:bottom w:val="none" w:sz="0" w:space="0" w:color="auto"/>
                    <w:right w:val="none" w:sz="0" w:space="0" w:color="auto"/>
                  </w:divBdr>
                  <w:divsChild>
                    <w:div w:id="15943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27769">
      <w:bodyDiv w:val="1"/>
      <w:marLeft w:val="0"/>
      <w:marRight w:val="0"/>
      <w:marTop w:val="0"/>
      <w:marBottom w:val="0"/>
      <w:divBdr>
        <w:top w:val="none" w:sz="0" w:space="0" w:color="auto"/>
        <w:left w:val="none" w:sz="0" w:space="0" w:color="auto"/>
        <w:bottom w:val="none" w:sz="0" w:space="0" w:color="auto"/>
        <w:right w:val="none" w:sz="0" w:space="0" w:color="auto"/>
      </w:divBdr>
    </w:div>
    <w:div w:id="1565411167">
      <w:bodyDiv w:val="1"/>
      <w:marLeft w:val="0"/>
      <w:marRight w:val="0"/>
      <w:marTop w:val="0"/>
      <w:marBottom w:val="0"/>
      <w:divBdr>
        <w:top w:val="none" w:sz="0" w:space="0" w:color="auto"/>
        <w:left w:val="none" w:sz="0" w:space="0" w:color="auto"/>
        <w:bottom w:val="none" w:sz="0" w:space="0" w:color="auto"/>
        <w:right w:val="none" w:sz="0" w:space="0" w:color="auto"/>
      </w:divBdr>
      <w:divsChild>
        <w:div w:id="923999603">
          <w:marLeft w:val="0"/>
          <w:marRight w:val="0"/>
          <w:marTop w:val="0"/>
          <w:marBottom w:val="0"/>
          <w:divBdr>
            <w:top w:val="none" w:sz="0" w:space="0" w:color="auto"/>
            <w:left w:val="none" w:sz="0" w:space="0" w:color="auto"/>
            <w:bottom w:val="none" w:sz="0" w:space="0" w:color="auto"/>
            <w:right w:val="none" w:sz="0" w:space="0" w:color="auto"/>
          </w:divBdr>
          <w:divsChild>
            <w:div w:id="1812939005">
              <w:marLeft w:val="0"/>
              <w:marRight w:val="0"/>
              <w:marTop w:val="0"/>
              <w:marBottom w:val="0"/>
              <w:divBdr>
                <w:top w:val="none" w:sz="0" w:space="0" w:color="auto"/>
                <w:left w:val="none" w:sz="0" w:space="0" w:color="auto"/>
                <w:bottom w:val="none" w:sz="0" w:space="0" w:color="auto"/>
                <w:right w:val="none" w:sz="0" w:space="0" w:color="auto"/>
              </w:divBdr>
              <w:divsChild>
                <w:div w:id="1964070991">
                  <w:marLeft w:val="0"/>
                  <w:marRight w:val="0"/>
                  <w:marTop w:val="0"/>
                  <w:marBottom w:val="0"/>
                  <w:divBdr>
                    <w:top w:val="none" w:sz="0" w:space="0" w:color="auto"/>
                    <w:left w:val="none" w:sz="0" w:space="0" w:color="auto"/>
                    <w:bottom w:val="none" w:sz="0" w:space="0" w:color="auto"/>
                    <w:right w:val="none" w:sz="0" w:space="0" w:color="auto"/>
                  </w:divBdr>
                  <w:divsChild>
                    <w:div w:id="21261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61354">
      <w:bodyDiv w:val="1"/>
      <w:marLeft w:val="0"/>
      <w:marRight w:val="0"/>
      <w:marTop w:val="0"/>
      <w:marBottom w:val="0"/>
      <w:divBdr>
        <w:top w:val="none" w:sz="0" w:space="0" w:color="auto"/>
        <w:left w:val="none" w:sz="0" w:space="0" w:color="auto"/>
        <w:bottom w:val="none" w:sz="0" w:space="0" w:color="auto"/>
        <w:right w:val="none" w:sz="0" w:space="0" w:color="auto"/>
      </w:divBdr>
    </w:div>
    <w:div w:id="1589774500">
      <w:bodyDiv w:val="1"/>
      <w:marLeft w:val="0"/>
      <w:marRight w:val="0"/>
      <w:marTop w:val="0"/>
      <w:marBottom w:val="0"/>
      <w:divBdr>
        <w:top w:val="none" w:sz="0" w:space="0" w:color="auto"/>
        <w:left w:val="none" w:sz="0" w:space="0" w:color="auto"/>
        <w:bottom w:val="none" w:sz="0" w:space="0" w:color="auto"/>
        <w:right w:val="none" w:sz="0" w:space="0" w:color="auto"/>
      </w:divBdr>
    </w:div>
    <w:div w:id="1605917177">
      <w:bodyDiv w:val="1"/>
      <w:marLeft w:val="0"/>
      <w:marRight w:val="0"/>
      <w:marTop w:val="0"/>
      <w:marBottom w:val="0"/>
      <w:divBdr>
        <w:top w:val="none" w:sz="0" w:space="0" w:color="auto"/>
        <w:left w:val="none" w:sz="0" w:space="0" w:color="auto"/>
        <w:bottom w:val="none" w:sz="0" w:space="0" w:color="auto"/>
        <w:right w:val="none" w:sz="0" w:space="0" w:color="auto"/>
      </w:divBdr>
    </w:div>
    <w:div w:id="1676154234">
      <w:bodyDiv w:val="1"/>
      <w:marLeft w:val="0"/>
      <w:marRight w:val="0"/>
      <w:marTop w:val="0"/>
      <w:marBottom w:val="0"/>
      <w:divBdr>
        <w:top w:val="none" w:sz="0" w:space="0" w:color="auto"/>
        <w:left w:val="none" w:sz="0" w:space="0" w:color="auto"/>
        <w:bottom w:val="none" w:sz="0" w:space="0" w:color="auto"/>
        <w:right w:val="none" w:sz="0" w:space="0" w:color="auto"/>
      </w:divBdr>
    </w:div>
    <w:div w:id="1695304140">
      <w:bodyDiv w:val="1"/>
      <w:marLeft w:val="0"/>
      <w:marRight w:val="0"/>
      <w:marTop w:val="0"/>
      <w:marBottom w:val="0"/>
      <w:divBdr>
        <w:top w:val="none" w:sz="0" w:space="0" w:color="auto"/>
        <w:left w:val="none" w:sz="0" w:space="0" w:color="auto"/>
        <w:bottom w:val="none" w:sz="0" w:space="0" w:color="auto"/>
        <w:right w:val="none" w:sz="0" w:space="0" w:color="auto"/>
      </w:divBdr>
      <w:divsChild>
        <w:div w:id="1143766204">
          <w:marLeft w:val="0"/>
          <w:marRight w:val="0"/>
          <w:marTop w:val="0"/>
          <w:marBottom w:val="0"/>
          <w:divBdr>
            <w:top w:val="none" w:sz="0" w:space="0" w:color="auto"/>
            <w:left w:val="none" w:sz="0" w:space="0" w:color="auto"/>
            <w:bottom w:val="none" w:sz="0" w:space="0" w:color="auto"/>
            <w:right w:val="none" w:sz="0" w:space="0" w:color="auto"/>
          </w:divBdr>
          <w:divsChild>
            <w:div w:id="668026780">
              <w:marLeft w:val="0"/>
              <w:marRight w:val="0"/>
              <w:marTop w:val="0"/>
              <w:marBottom w:val="0"/>
              <w:divBdr>
                <w:top w:val="none" w:sz="0" w:space="0" w:color="auto"/>
                <w:left w:val="none" w:sz="0" w:space="0" w:color="auto"/>
                <w:bottom w:val="none" w:sz="0" w:space="0" w:color="auto"/>
                <w:right w:val="none" w:sz="0" w:space="0" w:color="auto"/>
              </w:divBdr>
              <w:divsChild>
                <w:div w:id="1289818057">
                  <w:marLeft w:val="0"/>
                  <w:marRight w:val="0"/>
                  <w:marTop w:val="0"/>
                  <w:marBottom w:val="0"/>
                  <w:divBdr>
                    <w:top w:val="none" w:sz="0" w:space="0" w:color="auto"/>
                    <w:left w:val="none" w:sz="0" w:space="0" w:color="auto"/>
                    <w:bottom w:val="none" w:sz="0" w:space="0" w:color="auto"/>
                    <w:right w:val="none" w:sz="0" w:space="0" w:color="auto"/>
                  </w:divBdr>
                  <w:divsChild>
                    <w:div w:id="4749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63120">
      <w:bodyDiv w:val="1"/>
      <w:marLeft w:val="0"/>
      <w:marRight w:val="0"/>
      <w:marTop w:val="0"/>
      <w:marBottom w:val="0"/>
      <w:divBdr>
        <w:top w:val="none" w:sz="0" w:space="0" w:color="auto"/>
        <w:left w:val="none" w:sz="0" w:space="0" w:color="auto"/>
        <w:bottom w:val="none" w:sz="0" w:space="0" w:color="auto"/>
        <w:right w:val="none" w:sz="0" w:space="0" w:color="auto"/>
      </w:divBdr>
    </w:div>
    <w:div w:id="1736273827">
      <w:bodyDiv w:val="1"/>
      <w:marLeft w:val="0"/>
      <w:marRight w:val="0"/>
      <w:marTop w:val="0"/>
      <w:marBottom w:val="0"/>
      <w:divBdr>
        <w:top w:val="none" w:sz="0" w:space="0" w:color="auto"/>
        <w:left w:val="none" w:sz="0" w:space="0" w:color="auto"/>
        <w:bottom w:val="none" w:sz="0" w:space="0" w:color="auto"/>
        <w:right w:val="none" w:sz="0" w:space="0" w:color="auto"/>
      </w:divBdr>
      <w:divsChild>
        <w:div w:id="1659723648">
          <w:marLeft w:val="0"/>
          <w:marRight w:val="0"/>
          <w:marTop w:val="0"/>
          <w:marBottom w:val="0"/>
          <w:divBdr>
            <w:top w:val="none" w:sz="0" w:space="0" w:color="auto"/>
            <w:left w:val="none" w:sz="0" w:space="0" w:color="auto"/>
            <w:bottom w:val="none" w:sz="0" w:space="0" w:color="auto"/>
            <w:right w:val="none" w:sz="0" w:space="0" w:color="auto"/>
          </w:divBdr>
          <w:divsChild>
            <w:div w:id="2059738270">
              <w:marLeft w:val="0"/>
              <w:marRight w:val="0"/>
              <w:marTop w:val="0"/>
              <w:marBottom w:val="0"/>
              <w:divBdr>
                <w:top w:val="none" w:sz="0" w:space="0" w:color="auto"/>
                <w:left w:val="none" w:sz="0" w:space="0" w:color="auto"/>
                <w:bottom w:val="none" w:sz="0" w:space="0" w:color="auto"/>
                <w:right w:val="none" w:sz="0" w:space="0" w:color="auto"/>
              </w:divBdr>
              <w:divsChild>
                <w:div w:id="18221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8844">
      <w:bodyDiv w:val="1"/>
      <w:marLeft w:val="0"/>
      <w:marRight w:val="0"/>
      <w:marTop w:val="0"/>
      <w:marBottom w:val="0"/>
      <w:divBdr>
        <w:top w:val="none" w:sz="0" w:space="0" w:color="auto"/>
        <w:left w:val="none" w:sz="0" w:space="0" w:color="auto"/>
        <w:bottom w:val="none" w:sz="0" w:space="0" w:color="auto"/>
        <w:right w:val="none" w:sz="0" w:space="0" w:color="auto"/>
      </w:divBdr>
      <w:divsChild>
        <w:div w:id="13500482">
          <w:marLeft w:val="0"/>
          <w:marRight w:val="0"/>
          <w:marTop w:val="0"/>
          <w:marBottom w:val="0"/>
          <w:divBdr>
            <w:top w:val="none" w:sz="0" w:space="0" w:color="auto"/>
            <w:left w:val="none" w:sz="0" w:space="0" w:color="auto"/>
            <w:bottom w:val="none" w:sz="0" w:space="0" w:color="auto"/>
            <w:right w:val="none" w:sz="0" w:space="0" w:color="auto"/>
          </w:divBdr>
          <w:divsChild>
            <w:div w:id="484321573">
              <w:marLeft w:val="0"/>
              <w:marRight w:val="0"/>
              <w:marTop w:val="0"/>
              <w:marBottom w:val="0"/>
              <w:divBdr>
                <w:top w:val="none" w:sz="0" w:space="0" w:color="auto"/>
                <w:left w:val="none" w:sz="0" w:space="0" w:color="auto"/>
                <w:bottom w:val="none" w:sz="0" w:space="0" w:color="auto"/>
                <w:right w:val="none" w:sz="0" w:space="0" w:color="auto"/>
              </w:divBdr>
              <w:divsChild>
                <w:div w:id="1717510404">
                  <w:marLeft w:val="0"/>
                  <w:marRight w:val="0"/>
                  <w:marTop w:val="0"/>
                  <w:marBottom w:val="0"/>
                  <w:divBdr>
                    <w:top w:val="none" w:sz="0" w:space="0" w:color="auto"/>
                    <w:left w:val="none" w:sz="0" w:space="0" w:color="auto"/>
                    <w:bottom w:val="none" w:sz="0" w:space="0" w:color="auto"/>
                    <w:right w:val="none" w:sz="0" w:space="0" w:color="auto"/>
                  </w:divBdr>
                  <w:divsChild>
                    <w:div w:id="2527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11068">
      <w:bodyDiv w:val="1"/>
      <w:marLeft w:val="0"/>
      <w:marRight w:val="0"/>
      <w:marTop w:val="0"/>
      <w:marBottom w:val="0"/>
      <w:divBdr>
        <w:top w:val="none" w:sz="0" w:space="0" w:color="auto"/>
        <w:left w:val="none" w:sz="0" w:space="0" w:color="auto"/>
        <w:bottom w:val="none" w:sz="0" w:space="0" w:color="auto"/>
        <w:right w:val="none" w:sz="0" w:space="0" w:color="auto"/>
      </w:divBdr>
    </w:div>
    <w:div w:id="1781681682">
      <w:bodyDiv w:val="1"/>
      <w:marLeft w:val="0"/>
      <w:marRight w:val="0"/>
      <w:marTop w:val="0"/>
      <w:marBottom w:val="0"/>
      <w:divBdr>
        <w:top w:val="none" w:sz="0" w:space="0" w:color="auto"/>
        <w:left w:val="none" w:sz="0" w:space="0" w:color="auto"/>
        <w:bottom w:val="none" w:sz="0" w:space="0" w:color="auto"/>
        <w:right w:val="none" w:sz="0" w:space="0" w:color="auto"/>
      </w:divBdr>
      <w:divsChild>
        <w:div w:id="940988128">
          <w:marLeft w:val="0"/>
          <w:marRight w:val="0"/>
          <w:marTop w:val="0"/>
          <w:marBottom w:val="0"/>
          <w:divBdr>
            <w:top w:val="none" w:sz="0" w:space="0" w:color="auto"/>
            <w:left w:val="none" w:sz="0" w:space="0" w:color="auto"/>
            <w:bottom w:val="none" w:sz="0" w:space="0" w:color="auto"/>
            <w:right w:val="none" w:sz="0" w:space="0" w:color="auto"/>
          </w:divBdr>
          <w:divsChild>
            <w:div w:id="1754429586">
              <w:marLeft w:val="0"/>
              <w:marRight w:val="0"/>
              <w:marTop w:val="0"/>
              <w:marBottom w:val="0"/>
              <w:divBdr>
                <w:top w:val="none" w:sz="0" w:space="0" w:color="auto"/>
                <w:left w:val="none" w:sz="0" w:space="0" w:color="auto"/>
                <w:bottom w:val="none" w:sz="0" w:space="0" w:color="auto"/>
                <w:right w:val="none" w:sz="0" w:space="0" w:color="auto"/>
              </w:divBdr>
              <w:divsChild>
                <w:div w:id="112743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214">
      <w:bodyDiv w:val="1"/>
      <w:marLeft w:val="0"/>
      <w:marRight w:val="0"/>
      <w:marTop w:val="0"/>
      <w:marBottom w:val="0"/>
      <w:divBdr>
        <w:top w:val="none" w:sz="0" w:space="0" w:color="auto"/>
        <w:left w:val="none" w:sz="0" w:space="0" w:color="auto"/>
        <w:bottom w:val="none" w:sz="0" w:space="0" w:color="auto"/>
        <w:right w:val="none" w:sz="0" w:space="0" w:color="auto"/>
      </w:divBdr>
    </w:div>
    <w:div w:id="1842353442">
      <w:bodyDiv w:val="1"/>
      <w:marLeft w:val="0"/>
      <w:marRight w:val="0"/>
      <w:marTop w:val="0"/>
      <w:marBottom w:val="0"/>
      <w:divBdr>
        <w:top w:val="none" w:sz="0" w:space="0" w:color="auto"/>
        <w:left w:val="none" w:sz="0" w:space="0" w:color="auto"/>
        <w:bottom w:val="none" w:sz="0" w:space="0" w:color="auto"/>
        <w:right w:val="none" w:sz="0" w:space="0" w:color="auto"/>
      </w:divBdr>
    </w:div>
    <w:div w:id="1856534084">
      <w:bodyDiv w:val="1"/>
      <w:marLeft w:val="0"/>
      <w:marRight w:val="0"/>
      <w:marTop w:val="0"/>
      <w:marBottom w:val="0"/>
      <w:divBdr>
        <w:top w:val="none" w:sz="0" w:space="0" w:color="auto"/>
        <w:left w:val="none" w:sz="0" w:space="0" w:color="auto"/>
        <w:bottom w:val="none" w:sz="0" w:space="0" w:color="auto"/>
        <w:right w:val="none" w:sz="0" w:space="0" w:color="auto"/>
      </w:divBdr>
    </w:div>
    <w:div w:id="1864905023">
      <w:bodyDiv w:val="1"/>
      <w:marLeft w:val="0"/>
      <w:marRight w:val="0"/>
      <w:marTop w:val="0"/>
      <w:marBottom w:val="0"/>
      <w:divBdr>
        <w:top w:val="none" w:sz="0" w:space="0" w:color="auto"/>
        <w:left w:val="none" w:sz="0" w:space="0" w:color="auto"/>
        <w:bottom w:val="none" w:sz="0" w:space="0" w:color="auto"/>
        <w:right w:val="none" w:sz="0" w:space="0" w:color="auto"/>
      </w:divBdr>
    </w:div>
    <w:div w:id="1867255506">
      <w:bodyDiv w:val="1"/>
      <w:marLeft w:val="0"/>
      <w:marRight w:val="0"/>
      <w:marTop w:val="0"/>
      <w:marBottom w:val="0"/>
      <w:divBdr>
        <w:top w:val="none" w:sz="0" w:space="0" w:color="auto"/>
        <w:left w:val="none" w:sz="0" w:space="0" w:color="auto"/>
        <w:bottom w:val="none" w:sz="0" w:space="0" w:color="auto"/>
        <w:right w:val="none" w:sz="0" w:space="0" w:color="auto"/>
      </w:divBdr>
    </w:div>
    <w:div w:id="1887985788">
      <w:bodyDiv w:val="1"/>
      <w:marLeft w:val="0"/>
      <w:marRight w:val="0"/>
      <w:marTop w:val="0"/>
      <w:marBottom w:val="0"/>
      <w:divBdr>
        <w:top w:val="none" w:sz="0" w:space="0" w:color="auto"/>
        <w:left w:val="none" w:sz="0" w:space="0" w:color="auto"/>
        <w:bottom w:val="none" w:sz="0" w:space="0" w:color="auto"/>
        <w:right w:val="none" w:sz="0" w:space="0" w:color="auto"/>
      </w:divBdr>
    </w:div>
    <w:div w:id="1889485915">
      <w:bodyDiv w:val="1"/>
      <w:marLeft w:val="0"/>
      <w:marRight w:val="0"/>
      <w:marTop w:val="0"/>
      <w:marBottom w:val="0"/>
      <w:divBdr>
        <w:top w:val="none" w:sz="0" w:space="0" w:color="auto"/>
        <w:left w:val="none" w:sz="0" w:space="0" w:color="auto"/>
        <w:bottom w:val="none" w:sz="0" w:space="0" w:color="auto"/>
        <w:right w:val="none" w:sz="0" w:space="0" w:color="auto"/>
      </w:divBdr>
      <w:divsChild>
        <w:div w:id="1797527473">
          <w:marLeft w:val="0"/>
          <w:marRight w:val="0"/>
          <w:marTop w:val="0"/>
          <w:marBottom w:val="0"/>
          <w:divBdr>
            <w:top w:val="none" w:sz="0" w:space="0" w:color="auto"/>
            <w:left w:val="none" w:sz="0" w:space="0" w:color="auto"/>
            <w:bottom w:val="none" w:sz="0" w:space="0" w:color="auto"/>
            <w:right w:val="none" w:sz="0" w:space="0" w:color="auto"/>
          </w:divBdr>
          <w:divsChild>
            <w:div w:id="1079399940">
              <w:marLeft w:val="0"/>
              <w:marRight w:val="0"/>
              <w:marTop w:val="0"/>
              <w:marBottom w:val="0"/>
              <w:divBdr>
                <w:top w:val="none" w:sz="0" w:space="0" w:color="auto"/>
                <w:left w:val="none" w:sz="0" w:space="0" w:color="auto"/>
                <w:bottom w:val="none" w:sz="0" w:space="0" w:color="auto"/>
                <w:right w:val="none" w:sz="0" w:space="0" w:color="auto"/>
              </w:divBdr>
              <w:divsChild>
                <w:div w:id="1710258366">
                  <w:marLeft w:val="0"/>
                  <w:marRight w:val="0"/>
                  <w:marTop w:val="0"/>
                  <w:marBottom w:val="0"/>
                  <w:divBdr>
                    <w:top w:val="none" w:sz="0" w:space="0" w:color="auto"/>
                    <w:left w:val="none" w:sz="0" w:space="0" w:color="auto"/>
                    <w:bottom w:val="none" w:sz="0" w:space="0" w:color="auto"/>
                    <w:right w:val="none" w:sz="0" w:space="0" w:color="auto"/>
                  </w:divBdr>
                  <w:divsChild>
                    <w:div w:id="854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54482">
      <w:bodyDiv w:val="1"/>
      <w:marLeft w:val="0"/>
      <w:marRight w:val="0"/>
      <w:marTop w:val="0"/>
      <w:marBottom w:val="0"/>
      <w:divBdr>
        <w:top w:val="none" w:sz="0" w:space="0" w:color="auto"/>
        <w:left w:val="none" w:sz="0" w:space="0" w:color="auto"/>
        <w:bottom w:val="none" w:sz="0" w:space="0" w:color="auto"/>
        <w:right w:val="none" w:sz="0" w:space="0" w:color="auto"/>
      </w:divBdr>
      <w:divsChild>
        <w:div w:id="124590835">
          <w:marLeft w:val="0"/>
          <w:marRight w:val="0"/>
          <w:marTop w:val="0"/>
          <w:marBottom w:val="0"/>
          <w:divBdr>
            <w:top w:val="none" w:sz="0" w:space="0" w:color="auto"/>
            <w:left w:val="none" w:sz="0" w:space="0" w:color="auto"/>
            <w:bottom w:val="none" w:sz="0" w:space="0" w:color="auto"/>
            <w:right w:val="none" w:sz="0" w:space="0" w:color="auto"/>
          </w:divBdr>
          <w:divsChild>
            <w:div w:id="284583743">
              <w:marLeft w:val="0"/>
              <w:marRight w:val="0"/>
              <w:marTop w:val="0"/>
              <w:marBottom w:val="0"/>
              <w:divBdr>
                <w:top w:val="none" w:sz="0" w:space="0" w:color="auto"/>
                <w:left w:val="none" w:sz="0" w:space="0" w:color="auto"/>
                <w:bottom w:val="none" w:sz="0" w:space="0" w:color="auto"/>
                <w:right w:val="none" w:sz="0" w:space="0" w:color="auto"/>
              </w:divBdr>
              <w:divsChild>
                <w:div w:id="344748047">
                  <w:marLeft w:val="0"/>
                  <w:marRight w:val="0"/>
                  <w:marTop w:val="0"/>
                  <w:marBottom w:val="0"/>
                  <w:divBdr>
                    <w:top w:val="none" w:sz="0" w:space="0" w:color="auto"/>
                    <w:left w:val="none" w:sz="0" w:space="0" w:color="auto"/>
                    <w:bottom w:val="none" w:sz="0" w:space="0" w:color="auto"/>
                    <w:right w:val="none" w:sz="0" w:space="0" w:color="auto"/>
                  </w:divBdr>
                  <w:divsChild>
                    <w:div w:id="14984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19864">
      <w:bodyDiv w:val="1"/>
      <w:marLeft w:val="0"/>
      <w:marRight w:val="0"/>
      <w:marTop w:val="0"/>
      <w:marBottom w:val="0"/>
      <w:divBdr>
        <w:top w:val="none" w:sz="0" w:space="0" w:color="auto"/>
        <w:left w:val="none" w:sz="0" w:space="0" w:color="auto"/>
        <w:bottom w:val="none" w:sz="0" w:space="0" w:color="auto"/>
        <w:right w:val="none" w:sz="0" w:space="0" w:color="auto"/>
      </w:divBdr>
      <w:divsChild>
        <w:div w:id="1920938307">
          <w:marLeft w:val="0"/>
          <w:marRight w:val="0"/>
          <w:marTop w:val="0"/>
          <w:marBottom w:val="0"/>
          <w:divBdr>
            <w:top w:val="none" w:sz="0" w:space="0" w:color="auto"/>
            <w:left w:val="none" w:sz="0" w:space="0" w:color="auto"/>
            <w:bottom w:val="none" w:sz="0" w:space="0" w:color="auto"/>
            <w:right w:val="none" w:sz="0" w:space="0" w:color="auto"/>
          </w:divBdr>
          <w:divsChild>
            <w:div w:id="1609968729">
              <w:marLeft w:val="0"/>
              <w:marRight w:val="0"/>
              <w:marTop w:val="0"/>
              <w:marBottom w:val="0"/>
              <w:divBdr>
                <w:top w:val="none" w:sz="0" w:space="0" w:color="auto"/>
                <w:left w:val="none" w:sz="0" w:space="0" w:color="auto"/>
                <w:bottom w:val="none" w:sz="0" w:space="0" w:color="auto"/>
                <w:right w:val="none" w:sz="0" w:space="0" w:color="auto"/>
              </w:divBdr>
              <w:divsChild>
                <w:div w:id="10696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4746">
      <w:bodyDiv w:val="1"/>
      <w:marLeft w:val="0"/>
      <w:marRight w:val="0"/>
      <w:marTop w:val="0"/>
      <w:marBottom w:val="0"/>
      <w:divBdr>
        <w:top w:val="none" w:sz="0" w:space="0" w:color="auto"/>
        <w:left w:val="none" w:sz="0" w:space="0" w:color="auto"/>
        <w:bottom w:val="none" w:sz="0" w:space="0" w:color="auto"/>
        <w:right w:val="none" w:sz="0" w:space="0" w:color="auto"/>
      </w:divBdr>
    </w:div>
    <w:div w:id="2035421561">
      <w:bodyDiv w:val="1"/>
      <w:marLeft w:val="0"/>
      <w:marRight w:val="0"/>
      <w:marTop w:val="0"/>
      <w:marBottom w:val="0"/>
      <w:divBdr>
        <w:top w:val="none" w:sz="0" w:space="0" w:color="auto"/>
        <w:left w:val="none" w:sz="0" w:space="0" w:color="auto"/>
        <w:bottom w:val="none" w:sz="0" w:space="0" w:color="auto"/>
        <w:right w:val="none" w:sz="0" w:space="0" w:color="auto"/>
      </w:divBdr>
    </w:div>
    <w:div w:id="2053917273">
      <w:bodyDiv w:val="1"/>
      <w:marLeft w:val="0"/>
      <w:marRight w:val="0"/>
      <w:marTop w:val="0"/>
      <w:marBottom w:val="0"/>
      <w:divBdr>
        <w:top w:val="none" w:sz="0" w:space="0" w:color="auto"/>
        <w:left w:val="none" w:sz="0" w:space="0" w:color="auto"/>
        <w:bottom w:val="none" w:sz="0" w:space="0" w:color="auto"/>
        <w:right w:val="none" w:sz="0" w:space="0" w:color="auto"/>
      </w:divBdr>
    </w:div>
    <w:div w:id="2076081522">
      <w:bodyDiv w:val="1"/>
      <w:marLeft w:val="0"/>
      <w:marRight w:val="0"/>
      <w:marTop w:val="0"/>
      <w:marBottom w:val="0"/>
      <w:divBdr>
        <w:top w:val="none" w:sz="0" w:space="0" w:color="auto"/>
        <w:left w:val="none" w:sz="0" w:space="0" w:color="auto"/>
        <w:bottom w:val="none" w:sz="0" w:space="0" w:color="auto"/>
        <w:right w:val="none" w:sz="0" w:space="0" w:color="auto"/>
      </w:divBdr>
    </w:div>
    <w:div w:id="2090619424">
      <w:bodyDiv w:val="1"/>
      <w:marLeft w:val="0"/>
      <w:marRight w:val="0"/>
      <w:marTop w:val="0"/>
      <w:marBottom w:val="0"/>
      <w:divBdr>
        <w:top w:val="none" w:sz="0" w:space="0" w:color="auto"/>
        <w:left w:val="none" w:sz="0" w:space="0" w:color="auto"/>
        <w:bottom w:val="none" w:sz="0" w:space="0" w:color="auto"/>
        <w:right w:val="none" w:sz="0" w:space="0" w:color="auto"/>
      </w:divBdr>
      <w:divsChild>
        <w:div w:id="584461362">
          <w:marLeft w:val="0"/>
          <w:marRight w:val="0"/>
          <w:marTop w:val="0"/>
          <w:marBottom w:val="0"/>
          <w:divBdr>
            <w:top w:val="none" w:sz="0" w:space="0" w:color="auto"/>
            <w:left w:val="none" w:sz="0" w:space="0" w:color="auto"/>
            <w:bottom w:val="none" w:sz="0" w:space="0" w:color="auto"/>
            <w:right w:val="none" w:sz="0" w:space="0" w:color="auto"/>
          </w:divBdr>
          <w:divsChild>
            <w:div w:id="1956909111">
              <w:marLeft w:val="0"/>
              <w:marRight w:val="0"/>
              <w:marTop w:val="0"/>
              <w:marBottom w:val="0"/>
              <w:divBdr>
                <w:top w:val="none" w:sz="0" w:space="0" w:color="auto"/>
                <w:left w:val="none" w:sz="0" w:space="0" w:color="auto"/>
                <w:bottom w:val="none" w:sz="0" w:space="0" w:color="auto"/>
                <w:right w:val="none" w:sz="0" w:space="0" w:color="auto"/>
              </w:divBdr>
              <w:divsChild>
                <w:div w:id="1784299637">
                  <w:marLeft w:val="0"/>
                  <w:marRight w:val="0"/>
                  <w:marTop w:val="0"/>
                  <w:marBottom w:val="0"/>
                  <w:divBdr>
                    <w:top w:val="none" w:sz="0" w:space="0" w:color="auto"/>
                    <w:left w:val="none" w:sz="0" w:space="0" w:color="auto"/>
                    <w:bottom w:val="none" w:sz="0" w:space="0" w:color="auto"/>
                    <w:right w:val="none" w:sz="0" w:space="0" w:color="auto"/>
                  </w:divBdr>
                  <w:divsChild>
                    <w:div w:id="8395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56075">
      <w:bodyDiv w:val="1"/>
      <w:marLeft w:val="0"/>
      <w:marRight w:val="0"/>
      <w:marTop w:val="0"/>
      <w:marBottom w:val="0"/>
      <w:divBdr>
        <w:top w:val="none" w:sz="0" w:space="0" w:color="auto"/>
        <w:left w:val="none" w:sz="0" w:space="0" w:color="auto"/>
        <w:bottom w:val="none" w:sz="0" w:space="0" w:color="auto"/>
        <w:right w:val="none" w:sz="0" w:space="0" w:color="auto"/>
      </w:divBdr>
      <w:divsChild>
        <w:div w:id="1113207728">
          <w:marLeft w:val="0"/>
          <w:marRight w:val="0"/>
          <w:marTop w:val="0"/>
          <w:marBottom w:val="0"/>
          <w:divBdr>
            <w:top w:val="none" w:sz="0" w:space="0" w:color="auto"/>
            <w:left w:val="none" w:sz="0" w:space="0" w:color="auto"/>
            <w:bottom w:val="none" w:sz="0" w:space="0" w:color="auto"/>
            <w:right w:val="none" w:sz="0" w:space="0" w:color="auto"/>
          </w:divBdr>
          <w:divsChild>
            <w:div w:id="303169741">
              <w:marLeft w:val="0"/>
              <w:marRight w:val="0"/>
              <w:marTop w:val="0"/>
              <w:marBottom w:val="0"/>
              <w:divBdr>
                <w:top w:val="none" w:sz="0" w:space="0" w:color="auto"/>
                <w:left w:val="none" w:sz="0" w:space="0" w:color="auto"/>
                <w:bottom w:val="none" w:sz="0" w:space="0" w:color="auto"/>
                <w:right w:val="none" w:sz="0" w:space="0" w:color="auto"/>
              </w:divBdr>
              <w:divsChild>
                <w:div w:id="99880654">
                  <w:marLeft w:val="0"/>
                  <w:marRight w:val="0"/>
                  <w:marTop w:val="0"/>
                  <w:marBottom w:val="0"/>
                  <w:divBdr>
                    <w:top w:val="none" w:sz="0" w:space="0" w:color="auto"/>
                    <w:left w:val="none" w:sz="0" w:space="0" w:color="auto"/>
                    <w:bottom w:val="none" w:sz="0" w:space="0" w:color="auto"/>
                    <w:right w:val="none" w:sz="0" w:space="0" w:color="auto"/>
                  </w:divBdr>
                  <w:divsChild>
                    <w:div w:id="16782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s://intersex.shadowreport.org/public/2019-CRPD-LOI-Swiss-NGO-Zwischengeschlecht-Intersex-IGM.pdf" TargetMode="External"/><Relationship Id="rId18" Type="http://schemas.openxmlformats.org/officeDocument/2006/relationships/hyperlink" Target="http://intersex.shadowreport.org/public/2016-CEDAW-France-NGO-Zwischengeschlecht-Intersex-IGM.pdf" TargetMode="External"/><Relationship Id="rId26" Type="http://schemas.openxmlformats.org/officeDocument/2006/relationships/hyperlink" Target="https://www.iranti.org.za/wp-content/uploads/2019/04/National-Intersex-Dialogue.pdf" TargetMode="External"/><Relationship Id="rId39" Type="http://schemas.openxmlformats.org/officeDocument/2006/relationships/hyperlink" Target="https://stopigm.org/post/Amnesty-Report-fails-Intersex-Children-and-IGM-Survivors" TargetMode="External"/><Relationship Id="rId21" Type="http://schemas.openxmlformats.org/officeDocument/2006/relationships/hyperlink" Target="https://stopigm.org/Pakistan-Intersex-children-birth-defects-patents-offered-surgery-to-make-them-normal-again/" TargetMode="External"/><Relationship Id="rId34" Type="http://schemas.openxmlformats.org/officeDocument/2006/relationships/hyperlink" Target="https://www.oiieurope.org/wp-content/uploads/2024/07/oiide-oiieu-joint-statement_court_EN-12-06-24.pdf" TargetMode="External"/><Relationship Id="rId42" Type="http://schemas.openxmlformats.org/officeDocument/2006/relationships/hyperlink" Target="https://stopigm.org/post/Circular-7-step-back-for-intersex-human-rights-in-Chile" TargetMode="External"/><Relationship Id="rId47" Type="http://schemas.openxmlformats.org/officeDocument/2006/relationships/hyperlink" Target="https://stopigm.org/post/Ukraine-Instrumentalising-Intersex-and-IGM-for-LGBT-and-Gender-Politics" TargetMode="External"/><Relationship Id="rId50" Type="http://schemas.openxmlformats.org/officeDocument/2006/relationships/hyperlink" Target="https://www.knchr.org/Portals/0/GroupRightsReports/Equal%20In%20Dignity%20and%20Rights_Promoting%20The%20Rights%20Of%20Intersex%20Persons%20In%20Kenya.pdf?ver=2018-06-06-161118-323" TargetMode="External"/><Relationship Id="rId7" Type="http://schemas.openxmlformats.org/officeDocument/2006/relationships/hyperlink" Target="https://isna.org/files/hwa/winter1995.pdf" TargetMode="External"/><Relationship Id="rId2" Type="http://schemas.openxmlformats.org/officeDocument/2006/relationships/hyperlink" Target="https://intersex.shadowreport.org/public/2016-CEDAW-France-NGO-Zwischengeschlecht-Intersex-IGM.pdf" TargetMode="External"/><Relationship Id="rId16" Type="http://schemas.openxmlformats.org/officeDocument/2006/relationships/hyperlink" Target="https://www.genderopen.de/handle/25595/247" TargetMode="External"/><Relationship Id="rId29" Type="http://schemas.openxmlformats.org/officeDocument/2006/relationships/hyperlink" Target="https://intersex.shadowreport.org/public/2024-CCPR-Malta-NGO-Intersex-StopIGM.pdf" TargetMode="External"/><Relationship Id="rId11" Type="http://schemas.openxmlformats.org/officeDocument/2006/relationships/hyperlink" Target="http://intersex.shadowreport.org/public/2016-CRC-ZA-NGO-Zwischengeschlecht-Intersex-IGM.pdf" TargetMode="External"/><Relationship Id="rId24" Type="http://schemas.openxmlformats.org/officeDocument/2006/relationships/hyperlink" Target="http://guide.hfea.gov.uk/pgd/" TargetMode="External"/><Relationship Id="rId32" Type="http://schemas.openxmlformats.org/officeDocument/2006/relationships/hyperlink" Target="https://intersex.shadowreport.org/public/2023-CRPD-Germany-NGO-Intersex-StopIGM.pdf" TargetMode="External"/><Relationship Id="rId37" Type="http://schemas.openxmlformats.org/officeDocument/2006/relationships/hyperlink" Target="https://intersex.shadowreport.org/public/2024-CRC-Spain-NGO-Intersex-StopIGM.docx" TargetMode="External"/><Relationship Id="rId40" Type="http://schemas.openxmlformats.org/officeDocument/2006/relationships/hyperlink" Target="https://stopigm.org/public/S3_Zwischengeschlecht_UN-Expert-Meeting-2015_web.pdf" TargetMode="External"/><Relationship Id="rId45" Type="http://schemas.openxmlformats.org/officeDocument/2006/relationships/hyperlink" Target="https://intersex.shadowreport.org/public/2019-CRC-Austria-NGO-Zwischengeschlecht-Intersex-IGM.pdf" TargetMode="External"/><Relationship Id="rId5" Type="http://schemas.openxmlformats.org/officeDocument/2006/relationships/hyperlink" Target="https://intersex.shadowreport.org/public/2014-CRC-Swiss-NGO-Zwischengeschlecht-Intersex-IGM_v2.pdf" TargetMode="External"/><Relationship Id="rId15" Type="http://schemas.openxmlformats.org/officeDocument/2006/relationships/hyperlink" Target="https://archive.org/details/BaurErwin-Menschliche-Auslese-und-Rassenhygiene-Band01/mode/1up" TargetMode="External"/><Relationship Id="rId23" Type="http://schemas.openxmlformats.org/officeDocument/2006/relationships/hyperlink" Target="https://stopigm.org/Selective-Intersex-Abortions-Hypospadias-Intersex-XXY/" TargetMode="External"/><Relationship Id="rId28" Type="http://schemas.openxmlformats.org/officeDocument/2006/relationships/hyperlink" Target="https://theguardianpostcameroon.com/post/3038/en/csos-raise-awareness-on-intersexuality-at-yaounde-confab" TargetMode="External"/><Relationship Id="rId36" Type="http://schemas.openxmlformats.org/officeDocument/2006/relationships/hyperlink" Target="https://intersexgreece.org.gr/en/2022/07/25/3449/" TargetMode="External"/><Relationship Id="rId49" Type="http://schemas.openxmlformats.org/officeDocument/2006/relationships/hyperlink" Target="https://stopigm.org/post/ACHPR-African-Commissioner-warns-Stop-conflating-intersex-and-LGBT" TargetMode="External"/><Relationship Id="rId10" Type="http://schemas.openxmlformats.org/officeDocument/2006/relationships/hyperlink" Target="https://intersex.shadowreport.org/public/2020-CCPR-LOI-Kenya-NGO-Intersex-StopIGM.pdf" TargetMode="External"/><Relationship Id="rId19" Type="http://schemas.openxmlformats.org/officeDocument/2006/relationships/hyperlink" Target="https://stopigm.org/public/Bias-in-intersex-research-Centring-Intersex-Truffer-Bauer-StopIGM-21-02-2023.pdf" TargetMode="External"/><Relationship Id="rId31" Type="http://schemas.openxmlformats.org/officeDocument/2006/relationships/hyperlink" Target="https://intersex.shadowreport.org/public/2024-CCPR-Iceland-NGO-Intersex-StopIGM.docx" TargetMode="External"/><Relationship Id="rId44" Type="http://schemas.openxmlformats.org/officeDocument/2006/relationships/hyperlink" Target="http://intersex.shadowreport.org/public/2020-CRC-France-LOIPR-NGO-Intersex-IGM.pdf" TargetMode="External"/><Relationship Id="rId52" Type="http://schemas.openxmlformats.org/officeDocument/2006/relationships/hyperlink" Target="http://intersex.shadowreport.org/public/2019-CCPR-Belgium-NGO-Intersex-StopIGM.pdf" TargetMode="External"/><Relationship Id="rId4" Type="http://schemas.openxmlformats.org/officeDocument/2006/relationships/hyperlink" Target="https://intersex.shadowreport.org/public/2019-CRPD-LOI-Swiss-NGO-Zwischengeschlecht-Intersex-IGM.pdf" TargetMode="External"/><Relationship Id="rId9" Type="http://schemas.openxmlformats.org/officeDocument/2006/relationships/hyperlink" Target="http://www.ohchr.org/EN/NewsEvents/Pages/DisplayNews.aspx?NewsID=20739&amp;LangID=E" TargetMode="External"/><Relationship Id="rId14" Type="http://schemas.openxmlformats.org/officeDocument/2006/relationships/hyperlink" Target="https://stopigm.org/public/Bias-in-intersex-research-Centring-Intersex-Truffer-Bauer-StopIGM-21-02-2023.pdf" TargetMode="External"/><Relationship Id="rId22" Type="http://schemas.openxmlformats.org/officeDocument/2006/relationships/hyperlink" Target="https://www.thenews.com.pk/print/287739-100-infants-with-birth-defects-rehabilitated" TargetMode="External"/><Relationship Id="rId27" Type="http://schemas.openxmlformats.org/officeDocument/2006/relationships/hyperlink" Target="https://medium.com/being-lgbti-in-asia/the-dawn-of-a-national-intersex-movement-the-first-national-intersex-workshop-in-nepal-621e8d7a826e" TargetMode="External"/><Relationship Id="rId30" Type="http://schemas.openxmlformats.org/officeDocument/2006/relationships/hyperlink" Target="http://intersex.shadowreport.org/public/2020-CCPR-Portugal-NGO-Zwischengeschlecht-Intersex-IGM.pdf" TargetMode="External"/><Relationship Id="rId35" Type="http://schemas.openxmlformats.org/officeDocument/2006/relationships/hyperlink" Target="https://interaction.org.au/wp-content/uploads/2018/11/IHRA-2018-CRC.pdf" TargetMode="External"/><Relationship Id="rId43" Type="http://schemas.openxmlformats.org/officeDocument/2006/relationships/hyperlink" Target="https://stopigm.org/post/Circular-7-step-back-for-intersex-human-rights-in-Chile" TargetMode="External"/><Relationship Id="rId48" Type="http://schemas.openxmlformats.org/officeDocument/2006/relationships/hyperlink" Target="https://intersex.shadowreport.org/public/2016-CEDAW-France-NGO-Zwischengeschlecht-Intersex-IGM.pdf" TargetMode="External"/><Relationship Id="rId8" Type="http://schemas.openxmlformats.org/officeDocument/2006/relationships/hyperlink" Target="https://intersex.shadowreport.org/public/Zwischengeschlecht_2015-CRC-Briefing_Intersex-IGM_web.pdf" TargetMode="External"/><Relationship Id="rId51" Type="http://schemas.openxmlformats.org/officeDocument/2006/relationships/hyperlink" Target="https://intersex.shadowreport.org/public/2024-CAT-Finland-NGO-Intersex-StopIGM.pdf" TargetMode="External"/><Relationship Id="rId3" Type="http://schemas.openxmlformats.org/officeDocument/2006/relationships/hyperlink" Target="https://intersex.shadowreport.org/public/Zwischengeschlecht_2015-CRC-Briefing_Intersex-IGM_web.pdf" TargetMode="External"/><Relationship Id="rId12" Type="http://schemas.openxmlformats.org/officeDocument/2006/relationships/hyperlink" Target="https://intersex.shadowreport.org/public/2024-CCPR-South-Africa-NGO-Intersex-StopIGM.pdf" TargetMode="External"/><Relationship Id="rId17" Type="http://schemas.openxmlformats.org/officeDocument/2006/relationships/hyperlink" Target="https://apps.who.int/iris/bitstream/handle/10665/42630/9241580291_eng.pdf" TargetMode="External"/><Relationship Id="rId25" Type="http://schemas.openxmlformats.org/officeDocument/2006/relationships/hyperlink" Target="http://intersex.shadowreport.org/public/2014-CRC-Swiss-NGO-Zwischengeschlecht-Intersex-IGM_v2.pdf" TargetMode="External"/><Relationship Id="rId33" Type="http://schemas.openxmlformats.org/officeDocument/2006/relationships/hyperlink" Target="https://www.landesrecht-bw.de/bsbw/document/NJRE001567840" TargetMode="External"/><Relationship Id="rId38" Type="http://schemas.openxmlformats.org/officeDocument/2006/relationships/hyperlink" Target="https://intersex.shadowreport.org/public/2024-CAT-Finland-NGO-Intersex-StopIGM.pdf" TargetMode="External"/><Relationship Id="rId46" Type="http://schemas.openxmlformats.org/officeDocument/2006/relationships/hyperlink" Target="https://stopigm.org/post/CRC67-Intersex-children-used-as-cannon-fodder-LGBT-Denmark" TargetMode="External"/><Relationship Id="rId20" Type="http://schemas.openxmlformats.org/officeDocument/2006/relationships/hyperlink" Target="https://interactadvocates.org/wp-content/uploads/2016/01/Feder-JPU-Response-July-2016-Still_Ignoring_Human_Rights_in_Intersex.pdf" TargetMode="External"/><Relationship Id="rId41" Type="http://schemas.openxmlformats.org/officeDocument/2006/relationships/hyperlink" Target="https://stopigm.org/post/Major-Setback-for-Intersex-Human-Rights-at-the-UN" TargetMode="External"/><Relationship Id="rId1" Type="http://schemas.openxmlformats.org/officeDocument/2006/relationships/hyperlink" Target="https://zwischengeschlecht.org/post/Statuten" TargetMode="External"/><Relationship Id="rId6" Type="http://schemas.openxmlformats.org/officeDocument/2006/relationships/hyperlink" Target="https://intersex.shadowreport.org/public/2020-CRC-France-LOIPR-NGO-Intersex-IGM.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35BA9-63C7-5549-9ADD-4AD5C892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3869</Words>
  <Characters>23214</Characters>
  <Application>Microsoft Office Word</Application>
  <DocSecurity>0</DocSecurity>
  <Lines>346</Lines>
  <Paragraphs>102</Paragraphs>
  <ScaleCrop>false</ScaleCrop>
  <HeadingPairs>
    <vt:vector size="2" baseType="variant">
      <vt:variant>
        <vt:lpstr>Titel</vt:lpstr>
      </vt:variant>
      <vt:variant>
        <vt:i4>1</vt:i4>
      </vt:variant>
    </vt:vector>
  </HeadingPairs>
  <TitlesOfParts>
    <vt:vector size="1" baseType="lpstr">
      <vt:lpstr>Input for HC report pursuant to Human Rights Council resolution 55/14</vt:lpstr>
    </vt:vector>
  </TitlesOfParts>
  <Manager/>
  <Company/>
  <LinksUpToDate>false</LinksUpToDate>
  <CharactersWithSpaces>26981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 for HC report pursuant to Human Rights Council resolution 55/14</dc:title>
  <dc:subject/>
  <dc:creator>StopIGM.org / Zwischengeschlecht.org (Markus Bauer, Daniela Truffer)</dc:creator>
  <cp:keywords/>
  <dc:description/>
  <cp:lastModifiedBy>Daniela Truffer</cp:lastModifiedBy>
  <cp:revision>4</cp:revision>
  <cp:lastPrinted>2017-09-29T10:55:00Z</cp:lastPrinted>
  <dcterms:created xsi:type="dcterms:W3CDTF">2024-12-20T19:56:00Z</dcterms:created>
  <dcterms:modified xsi:type="dcterms:W3CDTF">2024-12-20T19:57:00Z</dcterms:modified>
  <cp:category/>
</cp:coreProperties>
</file>