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3C14B" w14:textId="77777777" w:rsidR="00726A6A" w:rsidRDefault="00726A6A" w:rsidP="00726A6A">
      <w:pPr>
        <w:rPr>
          <w:rFonts w:ascii="Arial" w:hAnsi="Arial" w:cs="Arial"/>
          <w:sz w:val="24"/>
          <w:szCs w:val="24"/>
        </w:rPr>
      </w:pPr>
      <w:bookmarkStart w:id="0" w:name="_GoBack"/>
      <w:bookmarkEnd w:id="0"/>
      <w:r>
        <w:rPr>
          <w:rFonts w:ascii="Arial" w:hAnsi="Arial" w:cs="Arial"/>
          <w:b/>
          <w:bCs/>
          <w:sz w:val="28"/>
          <w:szCs w:val="28"/>
        </w:rPr>
        <w:t>StopIGM.org: NGO Statement CRPD20 Germany, 21.09.2018</w:t>
      </w:r>
    </w:p>
    <w:p w14:paraId="16FB1DAF" w14:textId="77777777" w:rsidR="00726A6A" w:rsidRPr="00F4565A" w:rsidRDefault="00726A6A" w:rsidP="00726A6A">
      <w:pPr>
        <w:rPr>
          <w:rFonts w:ascii="Arial" w:hAnsi="Arial" w:cs="Arial"/>
          <w:sz w:val="24"/>
          <w:szCs w:val="24"/>
        </w:rPr>
      </w:pPr>
      <w:r>
        <w:rPr>
          <w:rFonts w:ascii="Arial" w:hAnsi="Arial" w:cs="Arial"/>
          <w:sz w:val="24"/>
          <w:szCs w:val="24"/>
        </w:rPr>
        <w:t>Daniela</w:t>
      </w:r>
      <w:r w:rsidRPr="00F4565A">
        <w:rPr>
          <w:rFonts w:ascii="Arial" w:hAnsi="Arial" w:cs="Arial"/>
          <w:sz w:val="24"/>
          <w:szCs w:val="24"/>
        </w:rPr>
        <w:t xml:space="preserve"> Truffer</w:t>
      </w:r>
      <w:r>
        <w:rPr>
          <w:rFonts w:ascii="Arial" w:hAnsi="Arial" w:cs="Arial"/>
          <w:sz w:val="24"/>
          <w:szCs w:val="24"/>
        </w:rPr>
        <w:t>, Markus Bauer</w:t>
      </w:r>
    </w:p>
    <w:p w14:paraId="3AAE8855" w14:textId="77777777" w:rsidR="00726A6A" w:rsidRPr="00F30E36" w:rsidRDefault="00726A6A" w:rsidP="00726A6A">
      <w:pPr>
        <w:rPr>
          <w:lang w:val="en-GB"/>
        </w:rPr>
      </w:pPr>
    </w:p>
    <w:p w14:paraId="54B102D7" w14:textId="77777777" w:rsidR="00726A6A" w:rsidRPr="00F30E36" w:rsidRDefault="00726A6A" w:rsidP="00726A6A">
      <w:pPr>
        <w:rPr>
          <w:rFonts w:ascii="Arial" w:hAnsi="Arial" w:cs="Arial"/>
          <w:lang w:val="en-GB"/>
        </w:rPr>
      </w:pPr>
    </w:p>
    <w:p w14:paraId="25C6C368" w14:textId="77777777" w:rsidR="00726A6A" w:rsidRPr="000D4E26" w:rsidRDefault="00726A6A" w:rsidP="00726A6A">
      <w:pPr>
        <w:rPr>
          <w:rFonts w:ascii="Arial" w:hAnsi="Arial" w:cs="Arial"/>
          <w:b/>
          <w:sz w:val="28"/>
          <w:szCs w:val="28"/>
          <w:lang w:val="en-GB"/>
        </w:rPr>
      </w:pPr>
      <w:r w:rsidRPr="000D4E26">
        <w:rPr>
          <w:rFonts w:ascii="Arial" w:hAnsi="Arial" w:cs="Arial"/>
          <w:b/>
          <w:sz w:val="28"/>
          <w:szCs w:val="28"/>
          <w:lang w:val="en-GB"/>
        </w:rPr>
        <w:t>Intersectionality of Intersex and Disability</w:t>
      </w:r>
    </w:p>
    <w:p w14:paraId="55432354" w14:textId="77777777" w:rsidR="00726A6A" w:rsidRDefault="00726A6A" w:rsidP="00726A6A">
      <w:pPr>
        <w:rPr>
          <w:rFonts w:ascii="Arial" w:hAnsi="Arial" w:cs="Arial"/>
          <w:sz w:val="24"/>
          <w:szCs w:val="24"/>
          <w:lang w:val="en-GB"/>
        </w:rPr>
      </w:pPr>
    </w:p>
    <w:p w14:paraId="0BAF3059" w14:textId="77777777" w:rsidR="00726A6A" w:rsidRDefault="00726A6A" w:rsidP="00726A6A">
      <w:pPr>
        <w:pStyle w:val="absatzschattenbericht"/>
        <w:rPr>
          <w:color w:val="auto"/>
        </w:rPr>
      </w:pPr>
      <w:r w:rsidRPr="008521EA">
        <w:rPr>
          <w:b/>
        </w:rPr>
        <w:t>Intersex persons</w:t>
      </w:r>
      <w:r w:rsidRPr="008521EA">
        <w:t xml:space="preserve">, in the vernacular also known as hermaphrodites, or medically as persons with </w:t>
      </w:r>
      <w:r w:rsidRPr="008521EA">
        <w:rPr>
          <w:i/>
        </w:rPr>
        <w:t>“Disorders</w:t>
      </w:r>
      <w:r>
        <w:rPr>
          <w:i/>
        </w:rPr>
        <w:t xml:space="preserve"> </w:t>
      </w:r>
      <w:r w:rsidRPr="008521EA">
        <w:rPr>
          <w:i/>
        </w:rPr>
        <w:t>of Sex Development (DSD)”</w:t>
      </w:r>
      <w:r w:rsidRPr="008521EA">
        <w:t>,</w:t>
      </w:r>
      <w:r w:rsidRPr="008521EA">
        <w:rPr>
          <w:rStyle w:val="Funotenzeichen1"/>
          <w:position w:val="6"/>
        </w:rPr>
        <w:t xml:space="preserve"> </w:t>
      </w:r>
      <w:r w:rsidRPr="008521EA">
        <w:t xml:space="preserve">are </w:t>
      </w:r>
      <w:r>
        <w:t xml:space="preserve">a comparatively small but heterogeneous group of </w:t>
      </w:r>
      <w:r w:rsidRPr="008521EA">
        <w:t xml:space="preserve">people born with “atypical” sex anatomies and reproductive organs, </w:t>
      </w:r>
      <w:r w:rsidRPr="008521EA">
        <w:rPr>
          <w:color w:val="auto"/>
        </w:rPr>
        <w:t xml:space="preserve">including atypical genitals, atypical sex hormone producing organs, atypical response to sex hormones, </w:t>
      </w:r>
      <w:r>
        <w:rPr>
          <w:color w:val="auto"/>
        </w:rPr>
        <w:t xml:space="preserve">and </w:t>
      </w:r>
      <w:r w:rsidRPr="008521EA">
        <w:rPr>
          <w:color w:val="auto"/>
        </w:rPr>
        <w:t>atypical genetic make-up</w:t>
      </w:r>
      <w:r>
        <w:rPr>
          <w:color w:val="auto"/>
        </w:rPr>
        <w:t xml:space="preserve"> (karyotype). In </w:t>
      </w:r>
      <w:r w:rsidRPr="00FF49D0">
        <w:rPr>
          <w:b/>
          <w:color w:val="auto"/>
        </w:rPr>
        <w:t xml:space="preserve">about 0.2% of the </w:t>
      </w:r>
      <w:r>
        <w:rPr>
          <w:b/>
          <w:color w:val="auto"/>
        </w:rPr>
        <w:t xml:space="preserve">general </w:t>
      </w:r>
      <w:r w:rsidRPr="00FF49D0">
        <w:rPr>
          <w:b/>
          <w:color w:val="auto"/>
        </w:rPr>
        <w:t>population</w:t>
      </w:r>
      <w:r>
        <w:rPr>
          <w:color w:val="auto"/>
        </w:rPr>
        <w:t xml:space="preserve"> these variations are noticeable enough to have an often severe impact on their lives</w:t>
      </w:r>
      <w:r w:rsidRPr="008521EA">
        <w:rPr>
          <w:color w:val="auto"/>
        </w:rPr>
        <w:t>.</w:t>
      </w:r>
      <w:r>
        <w:rPr>
          <w:rStyle w:val="Funotenzeichen"/>
          <w:color w:val="auto"/>
        </w:rPr>
        <w:footnoteReference w:id="1"/>
      </w:r>
    </w:p>
    <w:p w14:paraId="5ADE9036" w14:textId="77777777" w:rsidR="00726A6A" w:rsidRDefault="00726A6A" w:rsidP="00726A6A">
      <w:pPr>
        <w:pStyle w:val="absatzschattenbericht"/>
      </w:pPr>
      <w:r>
        <w:t xml:space="preserve">From our perspective the most striking intersectional aspect is </w:t>
      </w:r>
      <w:r w:rsidRPr="009225E0">
        <w:rPr>
          <w:b/>
        </w:rPr>
        <w:t xml:space="preserve">how doctors and </w:t>
      </w:r>
      <w:r>
        <w:rPr>
          <w:b/>
        </w:rPr>
        <w:t>policy makers</w:t>
      </w:r>
      <w:r w:rsidRPr="009225E0">
        <w:rPr>
          <w:b/>
        </w:rPr>
        <w:t xml:space="preserve"> frame and “treat” both</w:t>
      </w:r>
      <w:r>
        <w:t xml:space="preserve"> persons with intersex variations and persons with disabilities </w:t>
      </w:r>
      <w:r w:rsidRPr="008C392A">
        <w:rPr>
          <w:b/>
        </w:rPr>
        <w:t>as suffering</w:t>
      </w:r>
      <w:r w:rsidRPr="009225E0">
        <w:rPr>
          <w:b/>
        </w:rPr>
        <w:t xml:space="preserve"> from disability in the medical definition, and in need to be medically “cured”</w:t>
      </w:r>
      <w:r>
        <w:t xml:space="preserve"> in order to qualify as proper humans – whether they want it or not and whether they enjoy it or not.</w:t>
      </w:r>
    </w:p>
    <w:p w14:paraId="274F4534" w14:textId="77777777" w:rsidR="00726A6A" w:rsidRDefault="00726A6A" w:rsidP="00726A6A">
      <w:pPr>
        <w:pStyle w:val="absatzschattenbericht"/>
      </w:pPr>
      <w:r>
        <w:t xml:space="preserve">In particular we’d like to refer to the </w:t>
      </w:r>
      <w:r w:rsidRPr="008C392A">
        <w:rPr>
          <w:b/>
        </w:rPr>
        <w:t>harmful “scientific notions” of intersex</w:t>
      </w:r>
      <w:r>
        <w:t xml:space="preserve"> canonised during the Age of Enlightenment, and their </w:t>
      </w:r>
      <w:r w:rsidRPr="008C392A">
        <w:rPr>
          <w:b/>
        </w:rPr>
        <w:t>racist, eugenics and suprematist implications</w:t>
      </w:r>
      <w:r>
        <w:t>, which still inform the western medical practice today, namely that</w:t>
      </w:r>
    </w:p>
    <w:p w14:paraId="271EB0B6" w14:textId="77777777" w:rsidR="00726A6A" w:rsidRPr="009225E0" w:rsidRDefault="00726A6A" w:rsidP="00726A6A">
      <w:pPr>
        <w:pStyle w:val="absatzschattenbericht"/>
        <w:numPr>
          <w:ilvl w:val="0"/>
          <w:numId w:val="5"/>
        </w:numPr>
      </w:pPr>
      <w:r w:rsidRPr="009225E0">
        <w:t xml:space="preserve">intersex is a </w:t>
      </w:r>
      <w:r w:rsidRPr="00D85BF0">
        <w:rPr>
          <w:b/>
        </w:rPr>
        <w:t>subhuman species</w:t>
      </w:r>
      <w:r w:rsidRPr="009225E0">
        <w:t xml:space="preserve">, and therefore most frequent in less developed and more primitive sections of the human race, traditionally located in the hotter climates, as well as amongst primates, and </w:t>
      </w:r>
    </w:p>
    <w:p w14:paraId="5F6E0145" w14:textId="77777777" w:rsidR="00726A6A" w:rsidRDefault="00726A6A" w:rsidP="00726A6A">
      <w:pPr>
        <w:pStyle w:val="absatzschattenbericht"/>
        <w:numPr>
          <w:ilvl w:val="0"/>
          <w:numId w:val="5"/>
        </w:numPr>
      </w:pPr>
      <w:r w:rsidRPr="009225E0">
        <w:t xml:space="preserve">for such less evolved specimens, </w:t>
      </w:r>
      <w:r w:rsidRPr="00D85BF0">
        <w:rPr>
          <w:b/>
        </w:rPr>
        <w:t>harmful practices</w:t>
      </w:r>
      <w:r w:rsidRPr="009225E0">
        <w:t xml:space="preserve"> that couldn’t be tolerated on fully-fledged humans, like for example clitoris amputations or FGM, are not just tolerable, but </w:t>
      </w:r>
      <w:r w:rsidRPr="00D85BF0">
        <w:t xml:space="preserve">downright </w:t>
      </w:r>
      <w:r w:rsidRPr="00D85BF0">
        <w:rPr>
          <w:b/>
        </w:rPr>
        <w:t>necessary to “help” them</w:t>
      </w:r>
      <w:r w:rsidRPr="009225E0">
        <w:t xml:space="preserve">, </w:t>
      </w:r>
      <w:r>
        <w:t>and even approved by a papal envoy.</w:t>
      </w:r>
      <w:r>
        <w:rPr>
          <w:rStyle w:val="Funotenzeichen"/>
          <w:bCs/>
        </w:rPr>
        <w:footnoteReference w:id="2"/>
      </w:r>
    </w:p>
    <w:p w14:paraId="1A339507" w14:textId="77777777" w:rsidR="00726A6A" w:rsidRPr="009225E0" w:rsidRDefault="00726A6A" w:rsidP="00726A6A">
      <w:pPr>
        <w:pStyle w:val="absatzschattenbericht"/>
      </w:pPr>
      <w:r w:rsidRPr="008C392A">
        <w:t xml:space="preserve">While </w:t>
      </w:r>
      <w:r w:rsidRPr="00976E74">
        <w:rPr>
          <w:b/>
        </w:rPr>
        <w:t>today’s medical justifications</w:t>
      </w:r>
      <w:r w:rsidRPr="008C392A">
        <w:t xml:space="preserve"> are more secular and rationalised, the bottom line remains the same</w:t>
      </w:r>
      <w:r w:rsidRPr="00976E74">
        <w:t>: In such specimens, for example</w:t>
      </w:r>
      <w:r>
        <w:t xml:space="preserve"> </w:t>
      </w:r>
      <w:r w:rsidRPr="008C392A">
        <w:t xml:space="preserve">amputation or cutting of the clitoris </w:t>
      </w:r>
      <w:r w:rsidRPr="00976E74">
        <w:t>is surely justified</w:t>
      </w:r>
      <w:r w:rsidRPr="008C392A">
        <w:t>.</w:t>
      </w:r>
      <w:r>
        <w:rPr>
          <w:rStyle w:val="Funotenzeichen"/>
          <w:bCs/>
        </w:rPr>
        <w:footnoteReference w:id="3"/>
      </w:r>
      <w:r>
        <w:t xml:space="preserve"> </w:t>
      </w:r>
    </w:p>
    <w:p w14:paraId="47E8E2AB" w14:textId="77777777" w:rsidR="00726A6A" w:rsidRDefault="00726A6A" w:rsidP="00726A6A">
      <w:pPr>
        <w:pStyle w:val="absatzschattenbericht"/>
      </w:pPr>
      <w:r>
        <w:t xml:space="preserve">To further illustrate these harmful and degrading “scientific notions” towards intersex people, some </w:t>
      </w:r>
      <w:r w:rsidRPr="00D936A8">
        <w:rPr>
          <w:b/>
        </w:rPr>
        <w:t xml:space="preserve">practical examples </w:t>
      </w:r>
      <w:r>
        <w:t>from Germany:</w:t>
      </w:r>
    </w:p>
    <w:p w14:paraId="4C4C8BA5" w14:textId="77777777" w:rsidR="00726A6A" w:rsidRDefault="00726A6A" w:rsidP="00726A6A">
      <w:pPr>
        <w:pStyle w:val="absatzschattenbericht"/>
        <w:numPr>
          <w:ilvl w:val="0"/>
          <w:numId w:val="6"/>
        </w:numPr>
        <w:rPr>
          <w:lang w:val="de-DE"/>
        </w:rPr>
      </w:pPr>
      <w:r>
        <w:rPr>
          <w:b/>
        </w:rPr>
        <w:t xml:space="preserve">Intersex = “Bastardisation” caused by “Racial Mixing” (Richard Goldschmidt, 1915) </w:t>
      </w:r>
      <w:r>
        <w:t xml:space="preserve">To this day, it’s coveniently ignored how deeply engrained these racist notions are in the very term intersex itself. </w:t>
      </w:r>
      <w:r w:rsidRPr="00D936A8">
        <w:rPr>
          <w:lang w:val="de-DE"/>
        </w:rPr>
        <w:t>While it’s well known that the term was coined by geneticist and</w:t>
      </w:r>
      <w:r>
        <w:rPr>
          <w:lang w:val="de-DE"/>
        </w:rPr>
        <w:t xml:space="preserve"> zoologist Richard Goldschmidt, </w:t>
      </w:r>
      <w:r w:rsidRPr="00D936A8">
        <w:rPr>
          <w:lang w:val="de-DE"/>
        </w:rPr>
        <w:t xml:space="preserve">it's hardly ever recognised that it was introduced to describe the blurring of sex markers in gypsy moths as a </w:t>
      </w:r>
      <w:r w:rsidRPr="00F86B6F">
        <w:rPr>
          <w:i/>
          <w:lang w:val="de-DE"/>
        </w:rPr>
        <w:t>“bastardisation due to racial mixing”</w:t>
      </w:r>
      <w:r w:rsidRPr="00D936A8">
        <w:rPr>
          <w:lang w:val="de-DE"/>
        </w:rPr>
        <w:t>.</w:t>
      </w:r>
      <w:r>
        <w:rPr>
          <w:rStyle w:val="Funotenzeichen"/>
          <w:lang w:val="de-DE"/>
        </w:rPr>
        <w:footnoteReference w:id="4"/>
      </w:r>
    </w:p>
    <w:p w14:paraId="2F960465" w14:textId="77777777" w:rsidR="00726A6A" w:rsidRDefault="00726A6A" w:rsidP="00726A6A">
      <w:pPr>
        <w:pStyle w:val="absatzschattenbericht"/>
        <w:numPr>
          <w:ilvl w:val="0"/>
          <w:numId w:val="6"/>
        </w:numPr>
        <w:rPr>
          <w:lang w:val="de-DE"/>
        </w:rPr>
      </w:pPr>
      <w:r>
        <w:rPr>
          <w:b/>
          <w:lang w:val="de-DE"/>
        </w:rPr>
        <w:lastRenderedPageBreak/>
        <w:t>“</w:t>
      </w:r>
      <w:r w:rsidRPr="0061146A">
        <w:rPr>
          <w:b/>
          <w:lang w:val="de-DE"/>
        </w:rPr>
        <w:t>Human Heredity Theory and Racial Hygiene</w:t>
      </w:r>
      <w:r>
        <w:rPr>
          <w:b/>
          <w:lang w:val="de-DE"/>
        </w:rPr>
        <w:t>”</w:t>
      </w:r>
      <w:r w:rsidRPr="0061146A">
        <w:rPr>
          <w:b/>
          <w:lang w:val="de-DE"/>
        </w:rPr>
        <w:t xml:space="preserve"> (Baur, Fischer, Lenz, 1936)</w:t>
      </w:r>
      <w:r>
        <w:rPr>
          <w:lang w:val="de-DE"/>
        </w:rPr>
        <w:t xml:space="preserve"> The </w:t>
      </w:r>
      <w:r>
        <w:rPr>
          <w:rFonts w:eastAsia="Times New Roman" w:cs="Times New Roman"/>
        </w:rPr>
        <w:t xml:space="preserve">German standard textbook of eugenics </w:t>
      </w:r>
      <w:r w:rsidRPr="00145A5E">
        <w:rPr>
          <w:lang w:val="de-DE"/>
        </w:rPr>
        <w:t>in the inter-world-war period</w:t>
      </w:r>
      <w:r>
        <w:rPr>
          <w:lang w:val="de-DE"/>
        </w:rPr>
        <w:t xml:space="preserve">, referred to by Hitler in “Mein Kampf”, lists under </w:t>
      </w:r>
      <w:r w:rsidRPr="00F86B6F">
        <w:rPr>
          <w:i/>
          <w:lang w:val="de-DE"/>
        </w:rPr>
        <w:t>“Abnormal Hereditary Dispositions”</w:t>
      </w:r>
      <w:r>
        <w:rPr>
          <w:lang w:val="de-DE"/>
        </w:rPr>
        <w:t xml:space="preserve"> several intersex-related diagnoses including </w:t>
      </w:r>
      <w:r w:rsidRPr="00F86B6F">
        <w:rPr>
          <w:i/>
          <w:lang w:val="de-DE"/>
        </w:rPr>
        <w:t>“Hypospadias”</w:t>
      </w:r>
      <w:r>
        <w:rPr>
          <w:lang w:val="de-DE"/>
        </w:rPr>
        <w:t xml:space="preserve">, </w:t>
      </w:r>
      <w:r w:rsidRPr="00F86B6F">
        <w:rPr>
          <w:i/>
          <w:lang w:val="de-DE"/>
        </w:rPr>
        <w:t>“Pseudohermaphroditism”</w:t>
      </w:r>
      <w:r>
        <w:rPr>
          <w:lang w:val="de-DE"/>
        </w:rPr>
        <w:t xml:space="preserve"> and </w:t>
      </w:r>
      <w:r w:rsidRPr="00F86B6F">
        <w:rPr>
          <w:i/>
          <w:lang w:val="de-DE"/>
        </w:rPr>
        <w:t>“Intersexuality”</w:t>
      </w:r>
      <w:r>
        <w:rPr>
          <w:lang w:val="de-DE"/>
        </w:rPr>
        <w:t xml:space="preserve">, declaring </w:t>
      </w:r>
      <w:r w:rsidRPr="00F86B6F">
        <w:rPr>
          <w:i/>
          <w:lang w:val="de-DE"/>
        </w:rPr>
        <w:t>“intersexuality”</w:t>
      </w:r>
      <w:r>
        <w:rPr>
          <w:lang w:val="de-DE"/>
        </w:rPr>
        <w:t xml:space="preserve"> most likely to be caused by </w:t>
      </w:r>
      <w:r w:rsidRPr="00F86B6F">
        <w:rPr>
          <w:i/>
          <w:lang w:val="de-DE"/>
        </w:rPr>
        <w:t>“abnormal hereditary factors caused by mutation”</w:t>
      </w:r>
      <w:r>
        <w:rPr>
          <w:lang w:val="de-DE"/>
        </w:rPr>
        <w:t xml:space="preserve"> (Baur-Fischer-Lenz, 4th edition 1936, vol. 1, p. 402-404).</w:t>
      </w:r>
      <w:r>
        <w:rPr>
          <w:rStyle w:val="Funotenzeichen"/>
          <w:lang w:val="de-DE"/>
        </w:rPr>
        <w:footnoteReference w:id="5"/>
      </w:r>
    </w:p>
    <w:p w14:paraId="29336D29" w14:textId="77777777" w:rsidR="00726A6A" w:rsidRPr="00F86B6F" w:rsidRDefault="00726A6A" w:rsidP="00726A6A">
      <w:pPr>
        <w:pStyle w:val="absatzschattenbericht"/>
        <w:numPr>
          <w:ilvl w:val="0"/>
          <w:numId w:val="6"/>
        </w:numPr>
        <w:rPr>
          <w:lang w:val="de-DE"/>
        </w:rPr>
      </w:pPr>
      <w:r>
        <w:rPr>
          <w:b/>
          <w:lang w:val="de-DE"/>
        </w:rPr>
        <w:t>“removal of the clitoris does not interfere with the ability to achieve orgasm” (Jürgen Bierich, 1962)</w:t>
      </w:r>
      <w:r>
        <w:rPr>
          <w:lang w:val="de-DE"/>
        </w:rPr>
        <w:t xml:space="preserve"> The renowned German endocrinologist Bierich was an adamant advocate of cosmetic clitoris amputations on intersex children: </w:t>
      </w:r>
      <w:r w:rsidRPr="00F86B6F">
        <w:rPr>
          <w:i/>
          <w:lang w:val="de-DE"/>
        </w:rPr>
        <w:t xml:space="preserve">“Whenever possible surgery should be carried out before the children reach four years of age. In mild cases removal of the clitoris is all that is necessary. The clitoris should be </w:t>
      </w:r>
      <w:r w:rsidRPr="00F86B6F">
        <w:rPr>
          <w:lang w:val="de-DE"/>
        </w:rPr>
        <w:t>totally</w:t>
      </w:r>
      <w:r w:rsidRPr="00F86B6F">
        <w:rPr>
          <w:i/>
          <w:lang w:val="de-DE"/>
        </w:rPr>
        <w:t xml:space="preserve"> removed and not just amputated, otherwise troublesome erections of the remaining stump may occur. [...] removal of the clitoris does not interfere with the ability to achieve orgasm.”</w:t>
      </w:r>
      <w:r>
        <w:rPr>
          <w:lang w:val="de-DE"/>
        </w:rPr>
        <w:t xml:space="preserve"> (</w:t>
      </w:r>
      <w:r w:rsidRPr="00F86B6F">
        <w:rPr>
          <w:bCs/>
          <w:lang w:val="en-US"/>
        </w:rPr>
        <w:t>Jürgen R. Bierich: “The Adrenogenital Syndrome”. In: Overzier (ed.), “Intersex</w:t>
      </w:r>
      <w:r>
        <w:rPr>
          <w:bCs/>
          <w:lang w:val="en-US"/>
        </w:rPr>
        <w:t>uality”, 1962, at 379)</w:t>
      </w:r>
      <w:r>
        <w:rPr>
          <w:rStyle w:val="Funotenzeichen"/>
          <w:bCs/>
          <w:lang w:val="en-US"/>
        </w:rPr>
        <w:footnoteReference w:id="6"/>
      </w:r>
      <w:r>
        <w:rPr>
          <w:bCs/>
          <w:lang w:val="en-US"/>
        </w:rPr>
        <w:t xml:space="preserve"> To this day, German Society of Endocrinology awards an annual “Jürgen Bierich Memorial Prize”.</w:t>
      </w:r>
    </w:p>
    <w:p w14:paraId="34EF88E6" w14:textId="77777777" w:rsidR="00726A6A" w:rsidRDefault="00726A6A" w:rsidP="00726A6A">
      <w:pPr>
        <w:pStyle w:val="absatzschattenbericht"/>
        <w:numPr>
          <w:ilvl w:val="0"/>
          <w:numId w:val="6"/>
        </w:numPr>
        <w:rPr>
          <w:lang w:val="de-DE"/>
        </w:rPr>
      </w:pPr>
      <w:r>
        <w:rPr>
          <w:b/>
          <w:lang w:val="de-DE"/>
        </w:rPr>
        <w:t xml:space="preserve">“In Germany, we don’t want to breed mutants” (German doctor, 21st century) </w:t>
      </w:r>
      <w:r>
        <w:rPr>
          <w:lang w:val="de-DE"/>
        </w:rPr>
        <w:t xml:space="preserve">This was the justification of a German doctor to parents when they complained about why they had surgically removed reproductive organs (ovaries) from their intersex child, without even consulting the parents. The parents thereafter wanted to sue the doctors, but had to give up, because they couldn’t find a lawyer to </w:t>
      </w:r>
      <w:r w:rsidRPr="005F690F">
        <w:rPr>
          <w:lang w:val="de-DE"/>
        </w:rPr>
        <w:t>support their case (</w:t>
      </w:r>
      <w:r>
        <w:rPr>
          <w:lang w:val="de-DE"/>
        </w:rPr>
        <w:t xml:space="preserve">Claudia Lang, </w:t>
      </w:r>
      <w:r>
        <w:rPr>
          <w:iCs/>
          <w:lang w:val="de-DE"/>
        </w:rPr>
        <w:t>“</w:t>
      </w:r>
      <w:r w:rsidRPr="005F690F">
        <w:rPr>
          <w:iCs/>
          <w:lang w:val="de-DE"/>
        </w:rPr>
        <w:t>Intersexualität. Mens</w:t>
      </w:r>
      <w:r>
        <w:rPr>
          <w:iCs/>
          <w:lang w:val="de-DE"/>
        </w:rPr>
        <w:t>chen zwischen den Geschlechtern”</w:t>
      </w:r>
      <w:r>
        <w:rPr>
          <w:lang w:val="de-DE"/>
        </w:rPr>
        <w:t>, 2006, p. 247).</w:t>
      </w:r>
      <w:r>
        <w:rPr>
          <w:rStyle w:val="Funotenzeichen"/>
          <w:lang w:val="de-DE"/>
        </w:rPr>
        <w:footnoteReference w:id="7"/>
      </w:r>
    </w:p>
    <w:p w14:paraId="6463B293" w14:textId="77777777" w:rsidR="00726A6A" w:rsidRDefault="00726A6A" w:rsidP="00726A6A">
      <w:pPr>
        <w:pStyle w:val="absatzschattenbericht"/>
      </w:pPr>
      <w:r w:rsidRPr="00DA7870">
        <w:t xml:space="preserve">To this day, </w:t>
      </w:r>
      <w:r w:rsidRPr="004A4852">
        <w:rPr>
          <w:b/>
        </w:rPr>
        <w:t>in Germany there has been no coming to terms</w:t>
      </w:r>
      <w:r w:rsidRPr="00DA7870">
        <w:t xml:space="preserve"> with </w:t>
      </w:r>
      <w:r w:rsidRPr="004A4852">
        <w:rPr>
          <w:lang w:val="de-DE"/>
        </w:rPr>
        <w:t>neither the historic</w:t>
      </w:r>
      <w:r>
        <w:rPr>
          <w:lang w:val="de-DE"/>
        </w:rPr>
        <w:t>al</w:t>
      </w:r>
      <w:r w:rsidRPr="004A4852">
        <w:rPr>
          <w:lang w:val="de-DE"/>
        </w:rPr>
        <w:t xml:space="preserve"> nor the ongoing </w:t>
      </w:r>
      <w:r>
        <w:t>harmful misrepresentations</w:t>
      </w:r>
      <w:r w:rsidRPr="00DA7870">
        <w:t>, nor with the ongoing mutilations.</w:t>
      </w:r>
    </w:p>
    <w:p w14:paraId="5FC69521" w14:textId="77777777" w:rsidR="00E62D06" w:rsidRPr="00726A6A" w:rsidRDefault="00726A6A" w:rsidP="00726A6A">
      <w:pPr>
        <w:pStyle w:val="absatzschattenbericht"/>
      </w:pPr>
      <w:r w:rsidRPr="007B7E97">
        <w:t>To this day, instead of finally investigating, monitoring and combatting Intersex Genital Mutilation as a serious human rights violation, namely inhuman treatment and a harmful practice,</w:t>
      </w:r>
      <w:r w:rsidRPr="007B7E97">
        <w:rPr>
          <w:vertAlign w:val="superscript"/>
        </w:rPr>
        <w:footnoteReference w:id="8"/>
      </w:r>
      <w:r w:rsidRPr="007B7E97">
        <w:t xml:space="preserve"> </w:t>
      </w:r>
      <w:r w:rsidRPr="004A4852">
        <w:rPr>
          <w:b/>
        </w:rPr>
        <w:t>German doctors and policy makers continue to misrepresent IGM as supposedly genuine health care</w:t>
      </w:r>
      <w:r w:rsidRPr="007B7E97">
        <w:t xml:space="preserve"> instead, advocated and paid for by the Public Health System.</w:t>
      </w:r>
    </w:p>
    <w:sectPr w:rsidR="00E62D06" w:rsidRPr="00726A6A" w:rsidSect="00665607">
      <w:pgSz w:w="11906" w:h="16838"/>
      <w:pgMar w:top="851" w:right="1077" w:bottom="851"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AE50F" w14:textId="77777777" w:rsidR="00995464" w:rsidRDefault="00995464">
      <w:r>
        <w:separator/>
      </w:r>
    </w:p>
  </w:endnote>
  <w:endnote w:type="continuationSeparator" w:id="0">
    <w:p w14:paraId="3B4CA515" w14:textId="77777777" w:rsidR="00995464" w:rsidRDefault="0099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charset w:val="01"/>
    <w:family w:val="auto"/>
    <w:pitch w:val="variable"/>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40A1F" w14:textId="77777777" w:rsidR="00995464" w:rsidRDefault="00995464">
      <w:r>
        <w:separator/>
      </w:r>
    </w:p>
  </w:footnote>
  <w:footnote w:type="continuationSeparator" w:id="0">
    <w:p w14:paraId="3149BE94" w14:textId="77777777" w:rsidR="00995464" w:rsidRDefault="00995464">
      <w:r>
        <w:continuationSeparator/>
      </w:r>
    </w:p>
  </w:footnote>
  <w:footnote w:id="1">
    <w:p w14:paraId="5DC9D4D0" w14:textId="77777777" w:rsidR="00726A6A" w:rsidRDefault="00726A6A" w:rsidP="007705F7">
      <w:pPr>
        <w:pStyle w:val="Funotentext"/>
      </w:pPr>
      <w:r w:rsidRPr="007705F7">
        <w:rPr>
          <w:rStyle w:val="Funotenzeichen"/>
          <w:vertAlign w:val="baseline"/>
        </w:rPr>
        <w:footnoteRef/>
      </w:r>
      <w:r w:rsidRPr="007705F7">
        <w:t xml:space="preserve"> </w:t>
      </w:r>
      <w:r>
        <w:tab/>
        <w:t xml:space="preserve">See our NGO Report, p. 9-10, </w:t>
      </w:r>
      <w:r>
        <w:br/>
      </w:r>
      <w:hyperlink r:id="rId1" w:history="1">
        <w:r w:rsidRPr="00EF02DB">
          <w:rPr>
            <w:rStyle w:val="Link"/>
            <w:sz w:val="19"/>
            <w:szCs w:val="19"/>
            <w:lang w:val="en-GB"/>
          </w:rPr>
          <w:t>http://intersex.shadowreport.org/public/2018-CRPD-LOIPR-Germany-NGO-Zwischengeschlecht-Intersex-IGM.docx</w:t>
        </w:r>
      </w:hyperlink>
      <w:r w:rsidRPr="00EF02DB">
        <w:rPr>
          <w:lang w:val="en-GB"/>
        </w:rPr>
        <w:t xml:space="preserve"> </w:t>
      </w:r>
    </w:p>
  </w:footnote>
  <w:footnote w:id="2">
    <w:p w14:paraId="22F62102" w14:textId="77777777" w:rsidR="00726A6A" w:rsidRDefault="00726A6A" w:rsidP="00726A6A">
      <w:pPr>
        <w:pStyle w:val="Funotentext"/>
      </w:pPr>
      <w:r w:rsidRPr="007705F7">
        <w:rPr>
          <w:rStyle w:val="Funotenzeichen"/>
          <w:vertAlign w:val="baseline"/>
        </w:rPr>
        <w:footnoteRef/>
      </w:r>
      <w:r w:rsidRPr="007705F7">
        <w:t xml:space="preserve"> </w:t>
      </w:r>
      <w:r>
        <w:tab/>
        <w:t>See 2016 CEDAW France NGO Report, p. 7,</w:t>
      </w:r>
      <w:r>
        <w:br/>
      </w:r>
      <w:hyperlink r:id="rId2" w:history="1">
        <w:r w:rsidRPr="002B0817">
          <w:rPr>
            <w:rStyle w:val="Link"/>
          </w:rPr>
          <w:t>http://intersex.shadowreport.org/public/2016-CEDAW-France-NGO-Zwischengeschlecht-Intersex-IGM.doc</w:t>
        </w:r>
      </w:hyperlink>
      <w:r>
        <w:t xml:space="preserve"> </w:t>
      </w:r>
      <w:r>
        <w:br/>
      </w:r>
      <w:r w:rsidRPr="008C392A">
        <w:t>Dana Aliza Levy: “Conceptions and Perceptions of Human Difference: Albinos and Hermaphrodites in the Enlight</w:t>
      </w:r>
      <w:r>
        <w:t xml:space="preserve">enment”, Bachelor Thesis, 2012, </w:t>
      </w:r>
      <w:r w:rsidRPr="008C392A">
        <w:t xml:space="preserve">see </w:t>
      </w:r>
      <w:hyperlink r:id="rId3" w:history="1">
        <w:r w:rsidRPr="00330C53">
          <w:rPr>
            <w:rStyle w:val="Link"/>
            <w:sz w:val="16"/>
            <w:szCs w:val="16"/>
          </w:rPr>
          <w:t>http://stop.genitalmutilation.org/post/Racist-Roots-of-Intersex-Genital-Mutilations-IGM</w:t>
        </w:r>
      </w:hyperlink>
      <w:r>
        <w:t xml:space="preserve"> </w:t>
      </w:r>
      <w:r>
        <w:br/>
        <w:t xml:space="preserve">See also our NGO Report, p. 9, </w:t>
      </w:r>
      <w:r>
        <w:br/>
      </w:r>
      <w:hyperlink r:id="rId4" w:history="1">
        <w:r w:rsidRPr="00EF02DB">
          <w:rPr>
            <w:rStyle w:val="Link"/>
            <w:sz w:val="19"/>
            <w:szCs w:val="19"/>
            <w:lang w:val="en-GB"/>
          </w:rPr>
          <w:t>http://intersex.shadowreport.org/public/2018-CRPD-LOIPR-Germany-NGO-Zwischengeschlecht-Intersex-IGM.docx</w:t>
        </w:r>
      </w:hyperlink>
    </w:p>
  </w:footnote>
  <w:footnote w:id="3">
    <w:p w14:paraId="575CFD5A" w14:textId="77777777" w:rsidR="00726A6A" w:rsidRDefault="00726A6A" w:rsidP="00726A6A">
      <w:pPr>
        <w:pStyle w:val="Funotentext"/>
      </w:pPr>
      <w:r w:rsidRPr="007705F7">
        <w:rPr>
          <w:rStyle w:val="Funotenzeichen"/>
          <w:vertAlign w:val="baseline"/>
        </w:rPr>
        <w:footnoteRef/>
      </w:r>
      <w:r w:rsidRPr="007705F7">
        <w:t xml:space="preserve"> </w:t>
      </w:r>
      <w:r>
        <w:tab/>
        <w:t xml:space="preserve">For available statistics of the most frequent IGM practices in Germany, see 2017 CEDAW Germany NGO Report, p. 8-10, </w:t>
      </w:r>
      <w:hyperlink r:id="rId5" w:history="1">
        <w:r w:rsidRPr="00294542">
          <w:rPr>
            <w:rStyle w:val="Link"/>
            <w:sz w:val="19"/>
            <w:szCs w:val="19"/>
          </w:rPr>
          <w:t>http://intersex.shadowreport.org/public/2017-CEDAW-Germany-NGO-Zwischengeschlecht-Intersex-IGM.doc</w:t>
        </w:r>
      </w:hyperlink>
      <w:r>
        <w:t xml:space="preserve"> </w:t>
      </w:r>
    </w:p>
  </w:footnote>
  <w:footnote w:id="4">
    <w:p w14:paraId="2570454E" w14:textId="77777777" w:rsidR="00726A6A" w:rsidRDefault="00726A6A" w:rsidP="00726A6A">
      <w:pPr>
        <w:pStyle w:val="Funotentext"/>
      </w:pPr>
      <w:r w:rsidRPr="007705F7">
        <w:rPr>
          <w:rStyle w:val="Funotenzeichen"/>
          <w:vertAlign w:val="baseline"/>
        </w:rPr>
        <w:footnoteRef/>
      </w:r>
      <w:r w:rsidRPr="007705F7">
        <w:t xml:space="preserve"> </w:t>
      </w:r>
      <w:r>
        <w:tab/>
        <w:t>See 2016 CEDAW France NGO Report, p. 67,</w:t>
      </w:r>
      <w:r>
        <w:br/>
      </w:r>
      <w:hyperlink r:id="rId6" w:history="1">
        <w:r w:rsidRPr="002B0817">
          <w:rPr>
            <w:rStyle w:val="Link"/>
          </w:rPr>
          <w:t>http://intersex.shadowreport.org/public/2016-CEDAW-France-NGO-Zwischengeschlecht-Intersex-IGM.doc</w:t>
        </w:r>
      </w:hyperlink>
      <w:r>
        <w:t xml:space="preserve"> </w:t>
      </w:r>
    </w:p>
  </w:footnote>
  <w:footnote w:id="5">
    <w:p w14:paraId="5F1F927B" w14:textId="77777777" w:rsidR="00726A6A" w:rsidRDefault="00726A6A" w:rsidP="00726A6A">
      <w:pPr>
        <w:pStyle w:val="Funotentext"/>
      </w:pPr>
      <w:r w:rsidRPr="007705F7">
        <w:rPr>
          <w:rStyle w:val="Funotenzeichen"/>
          <w:vertAlign w:val="baseline"/>
        </w:rPr>
        <w:footnoteRef/>
      </w:r>
      <w:r w:rsidRPr="007705F7">
        <w:t xml:space="preserve"> </w:t>
      </w:r>
      <w:r>
        <w:tab/>
      </w:r>
      <w:r w:rsidRPr="00BF31E6">
        <w:t>Helga Satzinger (2009), Racial Purity, Stable Genes, and Sex Difference. Gender in the Making of Genetic Concepts by Richard Goldschmidt and Fritz Lenz, 1916-1936. In: Susanne Heim, Carola Sachse, Mark Walker, The Kaiser Wilhelm Society for the Advancement of Sc</w:t>
      </w:r>
      <w:r>
        <w:t>ience under National Socialism</w:t>
      </w:r>
      <w:r w:rsidRPr="00BF31E6">
        <w:t>, p.</w:t>
      </w:r>
      <w:r>
        <w:t xml:space="preserve"> </w:t>
      </w:r>
      <w:r w:rsidRPr="00BF31E6">
        <w:t>145-172, at 16</w:t>
      </w:r>
      <w:r>
        <w:t>1-16</w:t>
      </w:r>
      <w:r w:rsidRPr="00BF31E6">
        <w:t>2</w:t>
      </w:r>
      <w:r>
        <w:br/>
        <w:t xml:space="preserve">For more info in German, see also </w:t>
      </w:r>
      <w:hyperlink r:id="rId7" w:history="1">
        <w:r w:rsidRPr="002B0817">
          <w:rPr>
            <w:rStyle w:val="Link"/>
          </w:rPr>
          <w:t>http://blog.zwischengeschlecht.info/post/2014/10/08/Rassenmischung-Intersex-Hypospadie-Scheinzwittertum-Epispadie-DSD-Baur-Fischer-LenzErblehre-Rassenhygiene</w:t>
        </w:r>
      </w:hyperlink>
      <w:r>
        <w:t xml:space="preserve"> </w:t>
      </w:r>
    </w:p>
  </w:footnote>
  <w:footnote w:id="6">
    <w:p w14:paraId="59436E05" w14:textId="77777777" w:rsidR="00726A6A" w:rsidRDefault="00726A6A" w:rsidP="00726A6A">
      <w:pPr>
        <w:pStyle w:val="Funotentext"/>
      </w:pPr>
      <w:r w:rsidRPr="007705F7">
        <w:rPr>
          <w:rStyle w:val="Funotenzeichen"/>
          <w:vertAlign w:val="baseline"/>
        </w:rPr>
        <w:footnoteRef/>
      </w:r>
      <w:r w:rsidRPr="00946EED">
        <w:t xml:space="preserve"> </w:t>
      </w:r>
      <w:r>
        <w:tab/>
        <w:t>See 2016 CEDAW France NGO Report, p. 70,</w:t>
      </w:r>
      <w:r>
        <w:br/>
      </w:r>
      <w:hyperlink r:id="rId8" w:history="1">
        <w:r w:rsidRPr="002B0817">
          <w:rPr>
            <w:rStyle w:val="Link"/>
          </w:rPr>
          <w:t>http://intersex.shadowreport.org/public/2016-CEDAW-France-NGO-Zwischengeschlecht-Intersex-IGM.doc</w:t>
        </w:r>
      </w:hyperlink>
      <w:r>
        <w:br/>
        <w:t xml:space="preserve">For more info in German, see also </w:t>
      </w:r>
      <w:hyperlink r:id="rId9" w:history="1">
        <w:r w:rsidRPr="002B0817">
          <w:rPr>
            <w:rStyle w:val="Link"/>
          </w:rPr>
          <w:t>http://blog.zwischengeschlecht.info/post/2012/06/22/Orgasmusf%C3%A4higkeit-leidet-durch-Klitorisentfernung-nicht-Jurgen-Bierich-Hamburg-T%C3%BCbingen</w:t>
        </w:r>
      </w:hyperlink>
      <w:r>
        <w:t xml:space="preserve"> </w:t>
      </w:r>
    </w:p>
  </w:footnote>
  <w:footnote w:id="7">
    <w:p w14:paraId="0AE0A0E4" w14:textId="77777777" w:rsidR="00726A6A" w:rsidRPr="004767AB" w:rsidRDefault="00726A6A" w:rsidP="00726A6A">
      <w:pPr>
        <w:pStyle w:val="Funotentext"/>
      </w:pPr>
      <w:r w:rsidRPr="007705F7">
        <w:rPr>
          <w:rStyle w:val="Funotenzeichen"/>
          <w:vertAlign w:val="baseline"/>
        </w:rPr>
        <w:footnoteRef/>
      </w:r>
      <w:r w:rsidRPr="007705F7">
        <w:t xml:space="preserve"> </w:t>
      </w:r>
      <w:r w:rsidRPr="004767AB">
        <w:tab/>
      </w:r>
      <w:r>
        <w:t xml:space="preserve">For more info in German, see also </w:t>
      </w:r>
      <w:hyperlink r:id="rId10" w:history="1">
        <w:r w:rsidRPr="002B0817">
          <w:rPr>
            <w:rStyle w:val="Link"/>
          </w:rPr>
          <w:t>http://blog.zwischengeschlecht.info/post/2009/05/23/Zwangskastrationen-an-Zwittern%3A-Keine-Mutanten-zuchten</w:t>
        </w:r>
      </w:hyperlink>
      <w:r>
        <w:t xml:space="preserve"> </w:t>
      </w:r>
    </w:p>
  </w:footnote>
  <w:footnote w:id="8">
    <w:p w14:paraId="668913F5" w14:textId="77777777" w:rsidR="00726A6A" w:rsidRPr="00846D62" w:rsidRDefault="00726A6A" w:rsidP="00726A6A">
      <w:pPr>
        <w:pStyle w:val="Funotentext"/>
        <w:rPr>
          <w:lang w:val="en-GB" w:eastAsia="zh-CN" w:bidi="hi-IN"/>
        </w:rPr>
      </w:pPr>
      <w:r w:rsidRPr="00665607">
        <w:rPr>
          <w:rStyle w:val="Funotenzeichen1"/>
          <w:rFonts w:eastAsia="ＭＳ ゴシック"/>
        </w:rPr>
        <w:footnoteRef/>
      </w:r>
      <w:r>
        <w:rPr>
          <w:lang w:val="en-GB" w:eastAsia="zh-CN" w:bidi="hi-IN"/>
        </w:rPr>
        <w:tab/>
      </w:r>
      <w:r w:rsidRPr="00846D62">
        <w:rPr>
          <w:lang w:val="en-GB" w:eastAsia="zh-CN" w:bidi="hi-IN"/>
        </w:rPr>
        <w:t xml:space="preserve">CRPD/C/DEU/CO/1, paras 37-38; CRPD/C/CHL/CO/1 paras 41-42; CRPD/C/ITA/CO/1, paras 45-46; CRPD/C/URY/CO/1, paras 43-44; </w:t>
      </w:r>
      <w:r w:rsidRPr="00846D62">
        <w:rPr>
          <w:lang w:eastAsia="zh-CN" w:bidi="hi-IN"/>
        </w:rPr>
        <w:t xml:space="preserve">CRPD/C/GBR/CO/1, paras 10(a)-11(a), 38-41; CRPD/C/MAR/CO/1, paras 36-37; </w:t>
      </w:r>
      <w:r w:rsidRPr="00846D62">
        <w:rPr>
          <w:lang w:val="en-GB" w:eastAsia="zh-CN" w:bidi="hi-IN"/>
        </w:rPr>
        <w:t xml:space="preserve">CAT/C/DEU/CO/5, para 20; CAT/C/CHE/CO/7, para 20; CAT/C/AUT/CO/6, paras 44-45; CAT/C/DNK/CO/6-7, paras 42-43; CAT/C/CHN-HKG/CO/4-5, paras 28-29; CAT/C/FRA/CO/7, paras 32-33; CCPR/C/CHE/CO/4, paras 24-25, </w:t>
      </w:r>
      <w:r w:rsidRPr="00846D62">
        <w:rPr>
          <w:lang w:eastAsia="zh-CN" w:bidi="hi-IN"/>
        </w:rPr>
        <w:t xml:space="preserve">CCPR/C/AUS/CO/6, paras 25-26; CRC/C/CHE/CO/2-4, paras 42–43; CRC/C/CHL/CO/4-5, paras 48–49; CRC/C/FRA/CO/5, paras 47-48; CRC/C/IRL/CO/3-4, paras 39-40; CRC/C/NPL/CO/3-5, paras 41–42; CRC/C/GBR/CO/5, paras 46-47; CRC/C/NZL/CO/5, paras 25 + 15; CRC/C/ZAF/CO/2, paras 39-40 + 23-24; CRC/C/DNK/CO/5, paras 24+12; CRC/C/ESP/CO/5-6, para 24; CRC/C/ARG/CO/5-6, para 26; CEDAW/C/FRA/CO/7-8, paras 18e-f + 19e-f; CEDAW/C/CHE/CO/4-5, paras 24-25, 38-39; CEDAW/C/NLD/CO/6, paras 21-22, 23-24; CEDAW/C/DEU/CO/7-8, paras 23-24; CEDAW/C/IRL/CO/6-7, paras 24-25; </w:t>
      </w:r>
      <w:r w:rsidRPr="00846D62">
        <w:rPr>
          <w:lang w:val="en-GB" w:eastAsia="zh-CN" w:bidi="hi-IN"/>
        </w:rPr>
        <w:t>CEDAW/C/CHL/CO/7, paras 22-23, 12(d)-13(d), 14(d)-15(d)</w:t>
      </w:r>
      <w:r w:rsidRPr="00846D62">
        <w:rPr>
          <w:lang w:eastAsia="zh-CN" w:bidi="hi-IN"/>
        </w:rPr>
        <w:t xml:space="preserve">; </w:t>
      </w:r>
      <w:r w:rsidRPr="00846D62">
        <w:rPr>
          <w:lang w:val="en-GB" w:eastAsia="zh-CN" w:bidi="hi-IN"/>
        </w:rPr>
        <w:t>CEDAW/C/LUX/CO/6-7</w:t>
      </w:r>
      <w:r w:rsidRPr="00846D62">
        <w:rPr>
          <w:lang w:eastAsia="zh-CN" w:bidi="hi-IN"/>
        </w:rPr>
        <w:t xml:space="preserve">, paras 27b-c + 28b-c; </w:t>
      </w:r>
      <w:r w:rsidRPr="00846D62">
        <w:rPr>
          <w:lang w:val="de-CH" w:eastAsia="zh-CN" w:bidi="hi-IN"/>
        </w:rPr>
        <w:t>CEDAW/C/MEX/CO/9, para 21 – 22; CEDAW/C/NZL/CO/8, paras 23(c) – 24(c); CEDAW/C/AUS/CO/8, paras 25(c) – 26(c)</w:t>
      </w:r>
      <w:r w:rsidRPr="00846D62">
        <w:rPr>
          <w:lang w:val="en-GB" w:eastAsia="zh-CN" w:bidi="hi-I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35390544"/>
    <w:multiLevelType w:val="hybridMultilevel"/>
    <w:tmpl w:val="56C2EAC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CFF24E8"/>
    <w:multiLevelType w:val="hybridMultilevel"/>
    <w:tmpl w:val="178EE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453ED4"/>
    <w:multiLevelType w:val="hybridMultilevel"/>
    <w:tmpl w:val="0E620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D0"/>
    <w:rsid w:val="000120E4"/>
    <w:rsid w:val="00016B1F"/>
    <w:rsid w:val="00023EC7"/>
    <w:rsid w:val="00041DF8"/>
    <w:rsid w:val="00057DCB"/>
    <w:rsid w:val="000874EE"/>
    <w:rsid w:val="00090C69"/>
    <w:rsid w:val="000E459E"/>
    <w:rsid w:val="0011676C"/>
    <w:rsid w:val="00134D97"/>
    <w:rsid w:val="00156249"/>
    <w:rsid w:val="001A0C90"/>
    <w:rsid w:val="001B08FD"/>
    <w:rsid w:val="001C141B"/>
    <w:rsid w:val="001F2EFB"/>
    <w:rsid w:val="002147A6"/>
    <w:rsid w:val="00240948"/>
    <w:rsid w:val="002A1711"/>
    <w:rsid w:val="002D06EA"/>
    <w:rsid w:val="002D272D"/>
    <w:rsid w:val="00302C33"/>
    <w:rsid w:val="00320FE2"/>
    <w:rsid w:val="00321C4C"/>
    <w:rsid w:val="00341AFC"/>
    <w:rsid w:val="003444B8"/>
    <w:rsid w:val="00371044"/>
    <w:rsid w:val="00376F2E"/>
    <w:rsid w:val="003915C9"/>
    <w:rsid w:val="0039496F"/>
    <w:rsid w:val="0039507C"/>
    <w:rsid w:val="003D4EB6"/>
    <w:rsid w:val="003E13ED"/>
    <w:rsid w:val="0040554B"/>
    <w:rsid w:val="00414252"/>
    <w:rsid w:val="004330EB"/>
    <w:rsid w:val="004667F1"/>
    <w:rsid w:val="004707C3"/>
    <w:rsid w:val="00475264"/>
    <w:rsid w:val="004829CB"/>
    <w:rsid w:val="00501845"/>
    <w:rsid w:val="005040BE"/>
    <w:rsid w:val="00530145"/>
    <w:rsid w:val="00545796"/>
    <w:rsid w:val="00546D52"/>
    <w:rsid w:val="00547CC4"/>
    <w:rsid w:val="00552BE8"/>
    <w:rsid w:val="00564F70"/>
    <w:rsid w:val="00571218"/>
    <w:rsid w:val="005725EC"/>
    <w:rsid w:val="00586800"/>
    <w:rsid w:val="005A71C2"/>
    <w:rsid w:val="005C7CD0"/>
    <w:rsid w:val="005E417A"/>
    <w:rsid w:val="0061150B"/>
    <w:rsid w:val="00625DE9"/>
    <w:rsid w:val="00626F9F"/>
    <w:rsid w:val="00665607"/>
    <w:rsid w:val="0068562F"/>
    <w:rsid w:val="006A6544"/>
    <w:rsid w:val="006C4A1B"/>
    <w:rsid w:val="006E00D6"/>
    <w:rsid w:val="006F51CA"/>
    <w:rsid w:val="006F7048"/>
    <w:rsid w:val="0070478A"/>
    <w:rsid w:val="00726A6A"/>
    <w:rsid w:val="00745018"/>
    <w:rsid w:val="00747DC9"/>
    <w:rsid w:val="007619F8"/>
    <w:rsid w:val="00765E7F"/>
    <w:rsid w:val="0076696A"/>
    <w:rsid w:val="007705F7"/>
    <w:rsid w:val="00781FF7"/>
    <w:rsid w:val="007841FB"/>
    <w:rsid w:val="007A5D50"/>
    <w:rsid w:val="007F7549"/>
    <w:rsid w:val="0080278B"/>
    <w:rsid w:val="0083096F"/>
    <w:rsid w:val="008368A1"/>
    <w:rsid w:val="008B38D1"/>
    <w:rsid w:val="008E64B4"/>
    <w:rsid w:val="008F66FC"/>
    <w:rsid w:val="0090201A"/>
    <w:rsid w:val="00922226"/>
    <w:rsid w:val="0093453D"/>
    <w:rsid w:val="00943105"/>
    <w:rsid w:val="0094372C"/>
    <w:rsid w:val="00944861"/>
    <w:rsid w:val="00961E55"/>
    <w:rsid w:val="00985034"/>
    <w:rsid w:val="00995464"/>
    <w:rsid w:val="009A599F"/>
    <w:rsid w:val="009B1147"/>
    <w:rsid w:val="00A04A5A"/>
    <w:rsid w:val="00A16F6E"/>
    <w:rsid w:val="00A222BE"/>
    <w:rsid w:val="00A249B0"/>
    <w:rsid w:val="00A47D71"/>
    <w:rsid w:val="00A8755A"/>
    <w:rsid w:val="00AA10AB"/>
    <w:rsid w:val="00AA3E50"/>
    <w:rsid w:val="00B30AEC"/>
    <w:rsid w:val="00B821B2"/>
    <w:rsid w:val="00BA1BE2"/>
    <w:rsid w:val="00BF1F05"/>
    <w:rsid w:val="00CA5DF9"/>
    <w:rsid w:val="00CA7573"/>
    <w:rsid w:val="00CF2096"/>
    <w:rsid w:val="00D44344"/>
    <w:rsid w:val="00D5791E"/>
    <w:rsid w:val="00E247F8"/>
    <w:rsid w:val="00E62D06"/>
    <w:rsid w:val="00E857F3"/>
    <w:rsid w:val="00E947D6"/>
    <w:rsid w:val="00EA57A0"/>
    <w:rsid w:val="00F0705F"/>
    <w:rsid w:val="00F2732E"/>
    <w:rsid w:val="00F723DB"/>
    <w:rsid w:val="00F81C65"/>
    <w:rsid w:val="00FA3DCE"/>
    <w:rsid w:val="00FF65CA"/>
    <w:rsid w:val="00FF6D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F7A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2">
    <w:name w:val="heading 2"/>
    <w:basedOn w:val="berschrift"/>
    <w:next w:val="Textkrper"/>
    <w:qFormat/>
    <w:pPr>
      <w:numPr>
        <w:ilvl w:val="1"/>
        <w:numId w:val="2"/>
      </w:num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Aufzhlungszeichen1">
    <w:name w:val="Aufzählungszeichen1"/>
  </w:style>
  <w:style w:type="character" w:styleId="Herausstellen">
    <w:name w:val="Emphasis"/>
    <w:qFormat/>
    <w:rPr>
      <w:i/>
      <w:iCs/>
    </w:rPr>
  </w:style>
  <w:style w:type="character" w:customStyle="1" w:styleId="Funotenzeichen1">
    <w:name w:val="Fußnotenzeichen1"/>
  </w:style>
  <w:style w:type="character" w:customStyle="1" w:styleId="Caractresdenotedebasdepage">
    <w:name w:val="Caractères de note de bas de page"/>
    <w:rPr>
      <w:vertAlign w:val="superscript"/>
    </w:rPr>
  </w:style>
  <w:style w:type="character" w:styleId="Link">
    <w:name w:val="Hyperlink"/>
    <w:uiPriority w:val="99"/>
    <w:rsid w:val="007705F7"/>
    <w:rPr>
      <w:rFonts w:ascii="Times New Roman" w:hAnsi="Times New Roman"/>
      <w:color w:val="0000FF"/>
      <w:sz w:val="20"/>
      <w:u w:val="single" w:color="0000FF"/>
    </w:rPr>
  </w:style>
  <w:style w:type="character" w:customStyle="1" w:styleId="Caractresdenotedefin">
    <w:name w:val="Caractères de note de fin"/>
    <w:rPr>
      <w:vertAlign w:val="superscript"/>
    </w:rPr>
  </w:style>
  <w:style w:type="character" w:customStyle="1" w:styleId="Endnotenzeichen1">
    <w:name w:val="Endnotenzeichen1"/>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styleId="Funotenzeichen">
    <w:name w:val="footnote reference"/>
    <w:uiPriority w:val="99"/>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style>
  <w:style w:type="paragraph" w:customStyle="1" w:styleId="Titre">
    <w:name w:val="Titre"/>
    <w:basedOn w:val="Standard"/>
    <w:next w:val="Textkrper"/>
    <w:pPr>
      <w:keepNext/>
      <w:spacing w:before="240" w:after="120"/>
    </w:pPr>
  </w:style>
  <w:style w:type="paragraph" w:customStyle="1" w:styleId="Lgende">
    <w:name w:val="Légende"/>
    <w:basedOn w:val="Standard"/>
    <w:pPr>
      <w:suppressLineNumbers/>
      <w:spacing w:before="120" w:after="120"/>
    </w:pPr>
  </w:style>
  <w:style w:type="paragraph" w:customStyle="1" w:styleId="Index">
    <w:name w:val="Index"/>
    <w:basedOn w:val="Standard"/>
    <w:pPr>
      <w:suppressLineNumbers/>
    </w:pPr>
    <w:rPr>
      <w:rFonts w:cs="FreeSans"/>
    </w:rPr>
  </w:style>
  <w:style w:type="paragraph" w:customStyle="1" w:styleId="Default">
    <w:name w:val="Default"/>
    <w:pPr>
      <w:widowControl w:val="0"/>
      <w:suppressAutoHyphens/>
    </w:pPr>
  </w:style>
  <w:style w:type="paragraph" w:styleId="Funotentext">
    <w:name w:val="footnote text"/>
    <w:basedOn w:val="Standard"/>
    <w:link w:val="FunotentextZeichen"/>
    <w:pPr>
      <w:suppressLineNumbers/>
      <w:ind w:left="339" w:hanging="339"/>
    </w:pPr>
  </w:style>
  <w:style w:type="character" w:customStyle="1" w:styleId="FunotentextZeichen">
    <w:name w:val="Fußnotentext Zeichen"/>
    <w:link w:val="Funotentext"/>
    <w:rsid w:val="00726A6A"/>
  </w:style>
  <w:style w:type="paragraph" w:customStyle="1" w:styleId="absatzschattenbericht">
    <w:name w:val="absatz schattenbericht"/>
    <w:basedOn w:val="Standard"/>
    <w:autoRedefine/>
    <w:rsid w:val="00726A6A"/>
    <w:pPr>
      <w:autoSpaceDE w:val="0"/>
      <w:spacing w:after="113" w:line="288" w:lineRule="auto"/>
      <w:jc w:val="both"/>
      <w:textAlignment w:val="center"/>
    </w:pPr>
    <w:rPr>
      <w:rFonts w:eastAsia="Baskerville" w:cs="Baskerville"/>
      <w:color w:val="000000"/>
      <w:spacing w:val="2"/>
      <w:kern w:val="1"/>
      <w:sz w:val="24"/>
      <w:szCs w:val="24"/>
      <w:lang w:val="en-GB"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2">
    <w:name w:val="heading 2"/>
    <w:basedOn w:val="berschrift"/>
    <w:next w:val="Textkrper"/>
    <w:qFormat/>
    <w:pPr>
      <w:numPr>
        <w:ilvl w:val="1"/>
        <w:numId w:val="2"/>
      </w:num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Aufzhlungszeichen1">
    <w:name w:val="Aufzählungszeichen1"/>
  </w:style>
  <w:style w:type="character" w:styleId="Herausstellen">
    <w:name w:val="Emphasis"/>
    <w:qFormat/>
    <w:rPr>
      <w:i/>
      <w:iCs/>
    </w:rPr>
  </w:style>
  <w:style w:type="character" w:customStyle="1" w:styleId="Funotenzeichen1">
    <w:name w:val="Fußnotenzeichen1"/>
  </w:style>
  <w:style w:type="character" w:customStyle="1" w:styleId="Caractresdenotedebasdepage">
    <w:name w:val="Caractères de note de bas de page"/>
    <w:rPr>
      <w:vertAlign w:val="superscript"/>
    </w:rPr>
  </w:style>
  <w:style w:type="character" w:styleId="Link">
    <w:name w:val="Hyperlink"/>
    <w:uiPriority w:val="99"/>
    <w:rsid w:val="007705F7"/>
    <w:rPr>
      <w:rFonts w:ascii="Times New Roman" w:hAnsi="Times New Roman"/>
      <w:color w:val="0000FF"/>
      <w:sz w:val="20"/>
      <w:u w:val="single" w:color="0000FF"/>
    </w:rPr>
  </w:style>
  <w:style w:type="character" w:customStyle="1" w:styleId="Caractresdenotedefin">
    <w:name w:val="Caractères de note de fin"/>
    <w:rPr>
      <w:vertAlign w:val="superscript"/>
    </w:rPr>
  </w:style>
  <w:style w:type="character" w:customStyle="1" w:styleId="Endnotenzeichen1">
    <w:name w:val="Endnotenzeichen1"/>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styleId="Funotenzeichen">
    <w:name w:val="footnote reference"/>
    <w:uiPriority w:val="99"/>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style>
  <w:style w:type="paragraph" w:customStyle="1" w:styleId="Titre">
    <w:name w:val="Titre"/>
    <w:basedOn w:val="Standard"/>
    <w:next w:val="Textkrper"/>
    <w:pPr>
      <w:keepNext/>
      <w:spacing w:before="240" w:after="120"/>
    </w:pPr>
  </w:style>
  <w:style w:type="paragraph" w:customStyle="1" w:styleId="Lgende">
    <w:name w:val="Légende"/>
    <w:basedOn w:val="Standard"/>
    <w:pPr>
      <w:suppressLineNumbers/>
      <w:spacing w:before="120" w:after="120"/>
    </w:pPr>
  </w:style>
  <w:style w:type="paragraph" w:customStyle="1" w:styleId="Index">
    <w:name w:val="Index"/>
    <w:basedOn w:val="Standard"/>
    <w:pPr>
      <w:suppressLineNumbers/>
    </w:pPr>
    <w:rPr>
      <w:rFonts w:cs="FreeSans"/>
    </w:rPr>
  </w:style>
  <w:style w:type="paragraph" w:customStyle="1" w:styleId="Default">
    <w:name w:val="Default"/>
    <w:pPr>
      <w:widowControl w:val="0"/>
      <w:suppressAutoHyphens/>
    </w:pPr>
  </w:style>
  <w:style w:type="paragraph" w:styleId="Funotentext">
    <w:name w:val="footnote text"/>
    <w:basedOn w:val="Standard"/>
    <w:link w:val="FunotentextZeichen"/>
    <w:pPr>
      <w:suppressLineNumbers/>
      <w:ind w:left="339" w:hanging="339"/>
    </w:pPr>
  </w:style>
  <w:style w:type="character" w:customStyle="1" w:styleId="FunotentextZeichen">
    <w:name w:val="Fußnotentext Zeichen"/>
    <w:link w:val="Funotentext"/>
    <w:rsid w:val="00726A6A"/>
  </w:style>
  <w:style w:type="paragraph" w:customStyle="1" w:styleId="absatzschattenbericht">
    <w:name w:val="absatz schattenbericht"/>
    <w:basedOn w:val="Standard"/>
    <w:autoRedefine/>
    <w:rsid w:val="00726A6A"/>
    <w:pPr>
      <w:autoSpaceDE w:val="0"/>
      <w:spacing w:after="113" w:line="288" w:lineRule="auto"/>
      <w:jc w:val="both"/>
      <w:textAlignment w:val="center"/>
    </w:pPr>
    <w:rPr>
      <w:rFonts w:eastAsia="Baskerville" w:cs="Baskerville"/>
      <w:color w:val="000000"/>
      <w:spacing w:val="2"/>
      <w:kern w:val="1"/>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top.genitalmutilation.org/post/Racist-Roots-of-Intersex-Genital-Mutilations-IGM" TargetMode="External"/><Relationship Id="rId4" Type="http://schemas.openxmlformats.org/officeDocument/2006/relationships/hyperlink" Target="http://intersex.shadowreport.org/public/2018-CRPD-LOIPR-Germany-NGO-Zwischengeschlecht-Intersex-IGM.docx" TargetMode="External"/><Relationship Id="rId5" Type="http://schemas.openxmlformats.org/officeDocument/2006/relationships/hyperlink" Target="http://intersex.shadowreport.org/public/2017-CEDAW-Germany-NGO-Zwischengeschlecht-Intersex-IGM.doc" TargetMode="External"/><Relationship Id="rId6" Type="http://schemas.openxmlformats.org/officeDocument/2006/relationships/hyperlink" Target="http://intersex.shadowreport.org/public/2016-CEDAW-France-NGO-Zwischengeschlecht-Intersex-IGM.doc" TargetMode="External"/><Relationship Id="rId7" Type="http://schemas.openxmlformats.org/officeDocument/2006/relationships/hyperlink" Target="http://blog.zwischengeschlecht.info/post/2014/10/08/Rassenmischung-Intersex-Hypospadie-Scheinzwittertum-Epispadie-DSD-Baur-Fischer-LenzErblehre-Rassenhygiene" TargetMode="External"/><Relationship Id="rId8" Type="http://schemas.openxmlformats.org/officeDocument/2006/relationships/hyperlink" Target="http://intersex.shadowreport.org/public/2016-CEDAW-France-NGO-Zwischengeschlecht-Intersex-IGM.doc" TargetMode="External"/><Relationship Id="rId9" Type="http://schemas.openxmlformats.org/officeDocument/2006/relationships/hyperlink" Target="http://blog.zwischengeschlecht.info/post/2012/06/22/Orgasmusf%C3%A4higkeit-leidet-durch-Klitorisentfernung-nicht-Jurgen-Bierich-Hamburg-T%C3%BCbingen" TargetMode="External"/><Relationship Id="rId10" Type="http://schemas.openxmlformats.org/officeDocument/2006/relationships/hyperlink" Target="http://blog.zwischengeschlecht.info/post/2009/05/23/Zwangskastrationen-an-Zwittern%3A-Keine-Mutanten-zuchten" TargetMode="External"/><Relationship Id="rId1" Type="http://schemas.openxmlformats.org/officeDocument/2006/relationships/hyperlink" Target="http://intersex.shadowreport.org/public/2018-CRPD-LOIPR-Germany-NGO-Zwischengeschlecht-Intersex-IGM.docx" TargetMode="External"/><Relationship Id="rId2" Type="http://schemas.openxmlformats.org/officeDocument/2006/relationships/hyperlink" Target="http://intersex.shadowreport.org/public/2016-CEDAW-France-NGO-Zwischengeschlecht-Intersex-IGM.doc"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4114</Characters>
  <Application>Microsoft Macintosh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Intersectionality of Intersex and Disability (CRPD20 Germany)</vt:lpstr>
    </vt:vector>
  </TitlesOfParts>
  <Manager/>
  <Company/>
  <LinksUpToDate>false</LinksUpToDate>
  <CharactersWithSpaces>4812</CharactersWithSpaces>
  <SharedDoc>false</SharedDoc>
  <HyperlinkBase/>
  <HLinks>
    <vt:vector size="60" baseType="variant">
      <vt:variant>
        <vt:i4>5177370</vt:i4>
      </vt:variant>
      <vt:variant>
        <vt:i4>27</vt:i4>
      </vt:variant>
      <vt:variant>
        <vt:i4>0</vt:i4>
      </vt:variant>
      <vt:variant>
        <vt:i4>5</vt:i4>
      </vt:variant>
      <vt:variant>
        <vt:lpwstr>http://blog.zwischengeschlecht.info/post/2009/05/23/Zwangskastrationen-an-Zwittern%3A-Keine-Mutanten-zuchten</vt:lpwstr>
      </vt:variant>
      <vt:variant>
        <vt:lpwstr/>
      </vt:variant>
      <vt:variant>
        <vt:i4>1376304</vt:i4>
      </vt:variant>
      <vt:variant>
        <vt:i4>24</vt:i4>
      </vt:variant>
      <vt:variant>
        <vt:i4>0</vt:i4>
      </vt:variant>
      <vt:variant>
        <vt:i4>5</vt:i4>
      </vt:variant>
      <vt:variant>
        <vt:lpwstr>http://blog.zwischengeschlecht.info/post/2012/06/22/Orgasmusf%C3%A4higkeit-leidet-durch-Klitorisentfernung-nicht-Jurgen-Bierich-Hamburg-T%C3%BCbingen</vt:lpwstr>
      </vt:variant>
      <vt:variant>
        <vt:lpwstr/>
      </vt:variant>
      <vt:variant>
        <vt:i4>6094904</vt:i4>
      </vt:variant>
      <vt:variant>
        <vt:i4>21</vt:i4>
      </vt:variant>
      <vt:variant>
        <vt:i4>0</vt:i4>
      </vt:variant>
      <vt:variant>
        <vt:i4>5</vt:i4>
      </vt:variant>
      <vt:variant>
        <vt:lpwstr>http://intersex.shadowreport.org/public/2016-CEDAW-France-NGO-Zwischengeschlecht-Intersex-IGM.doc</vt:lpwstr>
      </vt:variant>
      <vt:variant>
        <vt:lpwstr/>
      </vt:variant>
      <vt:variant>
        <vt:i4>852013</vt:i4>
      </vt:variant>
      <vt:variant>
        <vt:i4>18</vt:i4>
      </vt:variant>
      <vt:variant>
        <vt:i4>0</vt:i4>
      </vt:variant>
      <vt:variant>
        <vt:i4>5</vt:i4>
      </vt:variant>
      <vt:variant>
        <vt:lpwstr>http://blog.zwischengeschlecht.info/post/2014/10/08/Rassenmischung-Intersex-Hypospadie-Scheinzwittertum-Epispadie-DSD-Baur-Fischer-LenzErblehre-Rassenhygiene</vt:lpwstr>
      </vt:variant>
      <vt:variant>
        <vt:lpwstr/>
      </vt:variant>
      <vt:variant>
        <vt:i4>6094904</vt:i4>
      </vt:variant>
      <vt:variant>
        <vt:i4>15</vt:i4>
      </vt:variant>
      <vt:variant>
        <vt:i4>0</vt:i4>
      </vt:variant>
      <vt:variant>
        <vt:i4>5</vt:i4>
      </vt:variant>
      <vt:variant>
        <vt:lpwstr>http://intersex.shadowreport.org/public/2016-CEDAW-France-NGO-Zwischengeschlecht-Intersex-IGM.doc</vt:lpwstr>
      </vt:variant>
      <vt:variant>
        <vt:lpwstr/>
      </vt:variant>
      <vt:variant>
        <vt:i4>6750325</vt:i4>
      </vt:variant>
      <vt:variant>
        <vt:i4>12</vt:i4>
      </vt:variant>
      <vt:variant>
        <vt:i4>0</vt:i4>
      </vt:variant>
      <vt:variant>
        <vt:i4>5</vt:i4>
      </vt:variant>
      <vt:variant>
        <vt:lpwstr>http://intersex.shadowreport.org/public/2017-CEDAW-Germany-NGO-Zwischengeschlecht-Intersex-IGM.doc</vt:lpwstr>
      </vt:variant>
      <vt:variant>
        <vt:lpwstr/>
      </vt:variant>
      <vt:variant>
        <vt:i4>5570564</vt:i4>
      </vt:variant>
      <vt:variant>
        <vt:i4>9</vt:i4>
      </vt:variant>
      <vt:variant>
        <vt:i4>0</vt:i4>
      </vt:variant>
      <vt:variant>
        <vt:i4>5</vt:i4>
      </vt:variant>
      <vt:variant>
        <vt:lpwstr>http://intersex.shadowreport.org/public/2018-CRPD-LOIPR-Germany-NGO-Zwischengeschlecht-Intersex-IGM.docx</vt:lpwstr>
      </vt:variant>
      <vt:variant>
        <vt:lpwstr/>
      </vt:variant>
      <vt:variant>
        <vt:i4>3801114</vt:i4>
      </vt:variant>
      <vt:variant>
        <vt:i4>6</vt:i4>
      </vt:variant>
      <vt:variant>
        <vt:i4>0</vt:i4>
      </vt:variant>
      <vt:variant>
        <vt:i4>5</vt:i4>
      </vt:variant>
      <vt:variant>
        <vt:lpwstr>http://stop.genitalmutilation.org/post/Racist-Roots-of-Intersex-Genital-Mutilations-IGM</vt:lpwstr>
      </vt:variant>
      <vt:variant>
        <vt:lpwstr/>
      </vt:variant>
      <vt:variant>
        <vt:i4>6094904</vt:i4>
      </vt:variant>
      <vt:variant>
        <vt:i4>3</vt:i4>
      </vt:variant>
      <vt:variant>
        <vt:i4>0</vt:i4>
      </vt:variant>
      <vt:variant>
        <vt:i4>5</vt:i4>
      </vt:variant>
      <vt:variant>
        <vt:lpwstr>http://intersex.shadowreport.org/public/2016-CEDAW-France-NGO-Zwischengeschlecht-Intersex-IGM.doc</vt:lpwstr>
      </vt:variant>
      <vt:variant>
        <vt:lpwstr/>
      </vt:variant>
      <vt:variant>
        <vt:i4>5570564</vt:i4>
      </vt:variant>
      <vt:variant>
        <vt:i4>0</vt:i4>
      </vt:variant>
      <vt:variant>
        <vt:i4>0</vt:i4>
      </vt:variant>
      <vt:variant>
        <vt:i4>5</vt:i4>
      </vt:variant>
      <vt:variant>
        <vt:lpwstr>http://intersex.shadowreport.org/public/2018-CRPD-LOIPR-Germany-NGO-Zwischengeschlecht-Intersex-IGM.docx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Intersectionality of Intersex and Disability (CRPD20 Germany)</dc:title>
  <dc:subject/>
  <dc:creator>StopIGM.org (Daniela Truffer, Markus Bauer)</dc:creator>
  <cp:keywords/>
  <dc:description/>
  <cp:lastModifiedBy>Daniela Truffer</cp:lastModifiedBy>
  <cp:revision>3</cp:revision>
  <cp:lastPrinted>1900-12-31T23:00:00Z</cp:lastPrinted>
  <dcterms:created xsi:type="dcterms:W3CDTF">2018-09-23T14:58:00Z</dcterms:created>
  <dcterms:modified xsi:type="dcterms:W3CDTF">2018-09-23T15:26:00Z</dcterms:modified>
  <cp:category/>
</cp:coreProperties>
</file>